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41B" w:rsidRPr="00913F6F" w:rsidRDefault="0048441B" w:rsidP="0048441B">
      <w:pPr>
        <w:spacing w:line="360" w:lineRule="auto"/>
        <w:jc w:val="center"/>
        <w:rPr>
          <w:rFonts w:ascii="宋体" w:eastAsia="宋体" w:hAnsi="宋体" w:cs="宋体"/>
          <w:b/>
          <w:color w:val="000000"/>
          <w:sz w:val="28"/>
          <w:szCs w:val="28"/>
        </w:rPr>
      </w:pPr>
      <w:r w:rsidRPr="00913F6F">
        <w:rPr>
          <w:rFonts w:ascii="宋体" w:eastAsia="宋体" w:hAnsi="宋体" w:cs="宋体" w:hint="eastAsia"/>
          <w:b/>
          <w:color w:val="000000"/>
          <w:sz w:val="28"/>
          <w:szCs w:val="28"/>
        </w:rPr>
        <w:t>202</w:t>
      </w:r>
      <w:r w:rsidR="00F4440E">
        <w:rPr>
          <w:rFonts w:ascii="宋体" w:eastAsia="宋体" w:hAnsi="宋体" w:cs="宋体"/>
          <w:b/>
          <w:color w:val="000000"/>
          <w:sz w:val="28"/>
          <w:szCs w:val="28"/>
        </w:rPr>
        <w:t>6</w:t>
      </w:r>
      <w:r w:rsidRPr="00913F6F">
        <w:rPr>
          <w:rFonts w:ascii="宋体" w:eastAsia="宋体" w:hAnsi="宋体" w:cs="宋体" w:hint="eastAsia"/>
          <w:b/>
          <w:color w:val="000000"/>
          <w:sz w:val="28"/>
          <w:szCs w:val="28"/>
        </w:rPr>
        <w:t>年第</w:t>
      </w:r>
      <w:r w:rsidR="00A55058">
        <w:rPr>
          <w:rFonts w:ascii="宋体" w:eastAsia="宋体" w:hAnsi="宋体" w:cs="宋体"/>
          <w:b/>
          <w:color w:val="000000"/>
          <w:sz w:val="28"/>
          <w:szCs w:val="28"/>
        </w:rPr>
        <w:t>3</w:t>
      </w:r>
      <w:r w:rsidR="00E1534B">
        <w:rPr>
          <w:rFonts w:ascii="宋体" w:eastAsia="宋体" w:hAnsi="宋体" w:cs="宋体"/>
          <w:b/>
          <w:color w:val="000000"/>
          <w:sz w:val="28"/>
          <w:szCs w:val="28"/>
        </w:rPr>
        <w:t>1</w:t>
      </w:r>
      <w:r w:rsidRPr="00913F6F">
        <w:rPr>
          <w:rFonts w:ascii="宋体" w:eastAsia="宋体" w:hAnsi="宋体" w:cs="宋体" w:hint="eastAsia"/>
          <w:b/>
          <w:color w:val="000000"/>
          <w:sz w:val="28"/>
          <w:szCs w:val="28"/>
        </w:rPr>
        <w:t>周</w:t>
      </w:r>
    </w:p>
    <w:p w:rsidR="0048441B" w:rsidRPr="00913F6F" w:rsidRDefault="0048441B" w:rsidP="0048441B">
      <w:pPr>
        <w:spacing w:line="360" w:lineRule="auto"/>
        <w:jc w:val="center"/>
        <w:rPr>
          <w:rFonts w:ascii="宋体" w:eastAsia="宋体" w:hAnsi="宋体" w:cs="宋体"/>
          <w:b/>
          <w:color w:val="000000"/>
          <w:sz w:val="28"/>
          <w:szCs w:val="28"/>
        </w:rPr>
      </w:pPr>
      <w:r w:rsidRPr="00913F6F">
        <w:rPr>
          <w:rFonts w:ascii="宋体" w:eastAsia="宋体" w:hAnsi="宋体" w:cs="宋体" w:hint="eastAsia"/>
          <w:b/>
          <w:color w:val="000000"/>
          <w:sz w:val="28"/>
          <w:szCs w:val="28"/>
        </w:rPr>
        <w:t>境外学者发表的结核病英文文章摘要</w:t>
      </w:r>
    </w:p>
    <w:p w:rsidR="0048441B" w:rsidRPr="00913F6F" w:rsidRDefault="0048441B" w:rsidP="0048441B">
      <w:pPr>
        <w:spacing w:line="360" w:lineRule="auto"/>
        <w:jc w:val="center"/>
        <w:rPr>
          <w:rFonts w:ascii="宋体" w:eastAsia="宋体" w:hAnsi="宋体" w:cs="宋体"/>
          <w:b/>
          <w:color w:val="000000"/>
          <w:sz w:val="28"/>
          <w:szCs w:val="28"/>
        </w:rPr>
      </w:pPr>
      <w:r w:rsidRPr="00913F6F">
        <w:rPr>
          <w:rFonts w:ascii="宋体" w:eastAsia="宋体" w:hAnsi="宋体" w:cs="宋体" w:hint="eastAsia"/>
          <w:b/>
          <w:color w:val="000000"/>
          <w:sz w:val="28"/>
          <w:szCs w:val="28"/>
        </w:rPr>
        <w:t>（</w:t>
      </w:r>
      <w:r w:rsidR="003E7A68">
        <w:rPr>
          <w:rFonts w:ascii="宋体" w:eastAsia="宋体" w:hAnsi="宋体" w:cs="宋体" w:hint="eastAsia"/>
          <w:b/>
          <w:color w:val="000000"/>
          <w:sz w:val="28"/>
          <w:szCs w:val="28"/>
        </w:rPr>
        <w:t>1</w:t>
      </w:r>
      <w:r w:rsidR="003E7A68">
        <w:rPr>
          <w:rFonts w:ascii="宋体" w:eastAsia="宋体" w:hAnsi="宋体" w:cs="宋体"/>
          <w:b/>
          <w:color w:val="000000"/>
          <w:sz w:val="28"/>
          <w:szCs w:val="28"/>
        </w:rPr>
        <w:t>19</w:t>
      </w:r>
      <w:bookmarkStart w:id="0" w:name="_GoBack"/>
      <w:bookmarkEnd w:id="0"/>
      <w:r w:rsidRPr="00913F6F">
        <w:rPr>
          <w:rFonts w:ascii="宋体" w:eastAsia="宋体" w:hAnsi="宋体" w:cs="宋体" w:hint="eastAsia"/>
          <w:b/>
          <w:color w:val="000000"/>
          <w:sz w:val="28"/>
          <w:szCs w:val="28"/>
        </w:rPr>
        <w:t>篇）</w:t>
      </w:r>
    </w:p>
    <w:p w:rsidR="0048441B" w:rsidRPr="00440A9B" w:rsidRDefault="0048441B" w:rsidP="0048441B">
      <w:pPr>
        <w:jc w:val="left"/>
        <w:rPr>
          <w:rFonts w:ascii="宋体" w:eastAsia="宋体" w:hAnsi="宋体" w:cs="宋体"/>
          <w:b/>
          <w:color w:val="FF0000"/>
          <w:szCs w:val="24"/>
        </w:rPr>
      </w:pPr>
    </w:p>
    <w:p w:rsidR="0048441B" w:rsidRPr="00913F6F" w:rsidRDefault="00AE3580" w:rsidP="0048441B">
      <w:pPr>
        <w:jc w:val="left"/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 w:hint="eastAsia"/>
          <w:b/>
          <w:color w:val="FF0000"/>
          <w:szCs w:val="24"/>
        </w:rPr>
        <w:t>PubMed  Publication date: 202</w:t>
      </w:r>
      <w:r w:rsidR="009A67B7">
        <w:rPr>
          <w:rFonts w:ascii="宋体" w:eastAsia="宋体" w:hAnsi="宋体" w:cs="宋体"/>
          <w:b/>
          <w:color w:val="FF0000"/>
          <w:szCs w:val="24"/>
        </w:rPr>
        <w:t>6</w:t>
      </w:r>
      <w:r w:rsidR="008236E7">
        <w:rPr>
          <w:rFonts w:ascii="宋体" w:eastAsia="宋体" w:hAnsi="宋体" w:cs="宋体" w:hint="eastAsia"/>
          <w:b/>
          <w:color w:val="FF0000"/>
          <w:szCs w:val="24"/>
        </w:rPr>
        <w:t>/</w:t>
      </w:r>
      <w:r w:rsidR="0062475A">
        <w:rPr>
          <w:rFonts w:ascii="宋体" w:eastAsia="宋体" w:hAnsi="宋体" w:cs="宋体"/>
          <w:b/>
          <w:color w:val="FF0000"/>
          <w:szCs w:val="24"/>
        </w:rPr>
        <w:t>7</w:t>
      </w:r>
      <w:r w:rsidR="0048441B" w:rsidRPr="00913F6F">
        <w:rPr>
          <w:rFonts w:ascii="宋体" w:eastAsia="宋体" w:hAnsi="宋体" w:cs="宋体" w:hint="eastAsia"/>
          <w:b/>
          <w:color w:val="FF0000"/>
          <w:szCs w:val="24"/>
        </w:rPr>
        <w:t>/</w:t>
      </w:r>
      <w:r w:rsidR="00E1534B">
        <w:rPr>
          <w:rFonts w:ascii="宋体" w:eastAsia="宋体" w:hAnsi="宋体" w:cs="宋体"/>
          <w:b/>
          <w:color w:val="FF0000"/>
          <w:szCs w:val="24"/>
        </w:rPr>
        <w:t>27</w:t>
      </w:r>
      <w:r w:rsidR="0038007F">
        <w:rPr>
          <w:rFonts w:ascii="宋体" w:eastAsia="宋体" w:hAnsi="宋体" w:cs="宋体"/>
          <w:b/>
          <w:color w:val="FF0000"/>
          <w:szCs w:val="24"/>
        </w:rPr>
        <w:t xml:space="preserve"> </w:t>
      </w:r>
      <w:r>
        <w:rPr>
          <w:rFonts w:ascii="宋体" w:eastAsia="宋体" w:hAnsi="宋体" w:cs="宋体" w:hint="eastAsia"/>
          <w:b/>
          <w:color w:val="FF0000"/>
          <w:szCs w:val="24"/>
        </w:rPr>
        <w:t>---</w:t>
      </w:r>
      <w:r w:rsidR="001F13B5">
        <w:rPr>
          <w:rFonts w:ascii="宋体" w:eastAsia="宋体" w:hAnsi="宋体" w:cs="宋体"/>
          <w:b/>
          <w:color w:val="FF0000"/>
          <w:szCs w:val="24"/>
        </w:rPr>
        <w:t xml:space="preserve"> </w:t>
      </w:r>
      <w:r>
        <w:rPr>
          <w:rFonts w:ascii="宋体" w:eastAsia="宋体" w:hAnsi="宋体" w:cs="宋体" w:hint="eastAsia"/>
          <w:b/>
          <w:color w:val="FF0000"/>
          <w:szCs w:val="24"/>
        </w:rPr>
        <w:t>202</w:t>
      </w:r>
      <w:r w:rsidR="00F4440E">
        <w:rPr>
          <w:rFonts w:ascii="宋体" w:eastAsia="宋体" w:hAnsi="宋体" w:cs="宋体"/>
          <w:b/>
          <w:color w:val="FF0000"/>
          <w:szCs w:val="24"/>
        </w:rPr>
        <w:t>6</w:t>
      </w:r>
      <w:r w:rsidR="00A46C82">
        <w:rPr>
          <w:rFonts w:ascii="宋体" w:eastAsia="宋体" w:hAnsi="宋体" w:cs="宋体" w:hint="eastAsia"/>
          <w:b/>
          <w:color w:val="FF0000"/>
          <w:szCs w:val="24"/>
        </w:rPr>
        <w:t>/</w:t>
      </w:r>
      <w:r w:rsidR="00E1534B">
        <w:rPr>
          <w:rFonts w:ascii="宋体" w:eastAsia="宋体" w:hAnsi="宋体" w:cs="宋体"/>
          <w:b/>
          <w:color w:val="FF0000"/>
          <w:szCs w:val="24"/>
        </w:rPr>
        <w:t>8</w:t>
      </w:r>
      <w:r w:rsidR="0048441B" w:rsidRPr="00913F6F">
        <w:rPr>
          <w:rFonts w:ascii="宋体" w:eastAsia="宋体" w:hAnsi="宋体" w:cs="宋体" w:hint="eastAsia"/>
          <w:b/>
          <w:color w:val="FF0000"/>
          <w:szCs w:val="24"/>
        </w:rPr>
        <w:t>/</w:t>
      </w:r>
      <w:r w:rsidR="00E1534B">
        <w:rPr>
          <w:rFonts w:ascii="宋体" w:eastAsia="宋体" w:hAnsi="宋体" w:cs="宋体"/>
          <w:b/>
          <w:color w:val="FF0000"/>
          <w:szCs w:val="24"/>
        </w:rPr>
        <w:t>2</w:t>
      </w:r>
    </w:p>
    <w:p w:rsidR="006C3F55" w:rsidRDefault="0048441B" w:rsidP="00763AE2">
      <w:pPr>
        <w:rPr>
          <w:rFonts w:ascii="宋体" w:eastAsia="宋体" w:hAnsi="宋体" w:cs="宋体"/>
          <w:b/>
          <w:color w:val="FF0000"/>
          <w:szCs w:val="24"/>
        </w:rPr>
      </w:pPr>
      <w:r w:rsidRPr="00913F6F">
        <w:rPr>
          <w:rFonts w:ascii="宋体" w:eastAsia="宋体" w:hAnsi="宋体" w:cs="宋体" w:hint="eastAsia"/>
          <w:b/>
          <w:color w:val="FF0000"/>
          <w:szCs w:val="24"/>
        </w:rPr>
        <w:t>(tuberculosis[Title/Abstract]) AND (English[Language])</w:t>
      </w:r>
    </w:p>
    <w:p w:rsidR="00FA0D6F" w:rsidRDefault="00FA0D6F" w:rsidP="003D46F1">
      <w:pPr>
        <w:rPr>
          <w:rFonts w:ascii="宋体" w:eastAsia="宋体" w:hAnsi="宋体" w:cs="宋体"/>
          <w:b/>
          <w:color w:val="FF0000"/>
          <w:szCs w:val="24"/>
        </w:rPr>
      </w:pPr>
    </w:p>
    <w:p w:rsidR="00465EB7" w:rsidRPr="008345C3" w:rsidRDefault="00465EB7" w:rsidP="00465EB7">
      <w:pPr>
        <w:rPr>
          <w:rFonts w:ascii="宋体" w:eastAsia="宋体" w:hAnsi="宋体" w:cs="宋体"/>
          <w:b/>
          <w:color w:val="FF0000"/>
          <w:szCs w:val="24"/>
        </w:rPr>
      </w:pPr>
      <w:r w:rsidRPr="008345C3">
        <w:rPr>
          <w:rFonts w:ascii="宋体" w:eastAsia="宋体" w:hAnsi="宋体" w:cs="宋体"/>
          <w:b/>
          <w:color w:val="FF0000"/>
          <w:szCs w:val="24"/>
        </w:rPr>
        <w:t xml:space="preserve">1. Lancet Reg Health West Pac. 2026 Jul 23;73:101928. doi: </w:t>
      </w:r>
    </w:p>
    <w:p w:rsidR="00465EB7" w:rsidRPr="008345C3" w:rsidRDefault="00465EB7" w:rsidP="00465EB7">
      <w:pPr>
        <w:rPr>
          <w:rFonts w:ascii="宋体" w:eastAsia="宋体" w:hAnsi="宋体" w:cs="宋体"/>
          <w:b/>
          <w:color w:val="FF0000"/>
          <w:szCs w:val="24"/>
        </w:rPr>
      </w:pPr>
      <w:r w:rsidRPr="008345C3">
        <w:rPr>
          <w:rFonts w:ascii="宋体" w:eastAsia="宋体" w:hAnsi="宋体" w:cs="宋体"/>
          <w:b/>
          <w:color w:val="FF0000"/>
          <w:szCs w:val="24"/>
        </w:rPr>
        <w:t>10.1016/j.lanwpc.2026.101928. eCollection 2026 Aug.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National genomic survey of drug-resistance and multi-jurisdictional clusters of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Mycobacterium tuberculosis in Australia 2015-2023.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Webb JR(1)(2), Sim E(3), Horan K(4)(1), Selway C(5), Andersson P(4)(1)(6), Moss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S(7), Pang S(8)(9), Bainomugisa A(10), Zahedi A(7), Denholm JT(11)(12), Martinez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E(13), Pandey S(10), Globan M(14), Crighton T(13), Meumann EM(15)(16)(17),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Menouhos D(15), Baird RW(15)(17), Sherry NL(4)(1)(18), Kennedy K(19), Cooley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L(20), Leong L(5), Slogget C(1), Seemann T(1)(6), Coulter C(10), Jennison AV(7),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Sintchenko V(3)(13), Howden BP(4)(1)(6)(18); Australian Pathogen Genomics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program.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(1)Department of Microbiology and Immunology at The Peter Doherty Institute for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Infection and Immunity, The University of Melbourne, Melbourne, Victoria,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Australia.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(2)School of Biological Sciences, Adelaide University, Adelaide, South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Australia, Australia.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(3)Sydney Infectious Diseases Institute, School of Medical Sciences, Faculty of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Medicine and Health, The University of Sydney, Sydney, New South Wales,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Australia.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(4)Microbiological Diagnostic Unit Public Health Laboratory, The University of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Melbourne at the Peter Doherty Institute of Infection and Immunity, Melbourne,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Victoria, Australia.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(5)Microbiology and Infectious Diseases, SA Pathology, Adelaide, South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Australia, Australia.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(6)Department of Microbiology and Immunology, Centre for Pathogen Genomics,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University of Melbourne, Victoria, Australia.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(7)Public and Environmental Health Reference Laboratories, Pathology Queensland,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Queensland Department of Health, Brisbane, Queensland, Australia.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(8)Pathogen Genomics and Surveillance, PathWest Laboratory Medicine, Nedlands,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Western Australia, Australia.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(9)Antimicrobial Resistance and Infectious Diseases Research Laboratory, Murdoch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University, Perth, Western Australia, Australia.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(10)Queensland Mycobacterium Reference Laboratory, Pathology Queensland,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Queensland, Australia.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(11)Victorian Tuberculosis Program, Melbourne Health, at the Peter Doherty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Institute for Infection and Immunity, Melbourne, Victoria, Australia.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(12)Department of Infectious Diseases, The University of Melbourne, at the Peter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Doherty Institute for Infection and Immunity, Melbourne, Victoria, Australia.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(13)New South Wales Mycobacterium Reference Laboratory, Institute of Clinical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Pathology and Medical Research, NSW Health Pathology, Sydney, New South Wales,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Australia.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(14)Victorian Mycobacterium Reference Laboratory (MRL), Victorian Infectious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Diseases Reference Laboratory (VIDRL), at the Peter Doherty Institute for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Infection and Immunity, Melbourne, Victoria, Australia.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(15)Territory Pathology, Royal Darwin Hospital, Darwin, Australia.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(16)Global and Tropical Health Division, Menzies School of Health Research,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Charles Darwin University, Darwin, Northern Territory, Australia.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(17)Division of Medicine, Department of Infectious Diseases, Royal Darwin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Hospital, Darwin, Northern Territory, Australia.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(18)Department of Infectious Diseases &amp; Immunology, Austin Health, Heidelberg,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Victoria, Australia.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(19)Department of Clinical Microbiology and Infectious Diseases, Canberra Health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Services, Australian National University Medical School, Canberra, Australian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Capital Territory, Australia.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(20)Department of Microbiology and Infectious Diseases, Royal Hobart Hospital,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Hobart, Tasmania, Australia.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8345C3">
        <w:rPr>
          <w:rFonts w:ascii="宋体" w:eastAsia="宋体" w:hAnsi="宋体" w:cs="宋体"/>
          <w:b/>
          <w:color w:val="000000" w:themeColor="text1"/>
          <w:szCs w:val="24"/>
        </w:rPr>
        <w:t xml:space="preserve">BACKGROUND: 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Tuberculosis is a global public health priority. In Australia,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genomic analysis of Mycobacterium tuberculosis (Mtb) occurs at state or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territory level, thus multijurisdictional genomics of Mtb remains poorly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understood. We present the first national assessment of Mtb using nine years of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genomic data from all Australian jurisdictions, as a part of the Australian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Pathogen Genomics program.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8345C3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 Our national Mtb sequence dataset spanned 2015-2023 and represented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culture-confirmed cases. AusTrakka was optimised to allow secure, national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contribution of Mtb genomes and metadata. Drug resistance was determined using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tbtamr, and genomic clusters were identified via hierarchical single linkage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clustering (5 SNPs) from pairwise SNP distances. Criteria were established to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identify clusters of national public health significance.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8345C3">
        <w:rPr>
          <w:rFonts w:ascii="宋体" w:eastAsia="宋体" w:hAnsi="宋体" w:cs="宋体"/>
          <w:b/>
          <w:color w:val="000000" w:themeColor="text1"/>
          <w:szCs w:val="24"/>
        </w:rPr>
        <w:t xml:space="preserve">FINDINGS: 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We analysed 6616 Mtb sequences, representing 59% of notified cases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nationwide. Lineages 1-4 were detected, with lineage 2 the most prevalent and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drug resistant. At the 5-SNP threshold, 373 genomic (17% of sequences) clusters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were identified, with 48 (13%) clusters identified as nationally significant.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Critically, 31 genomic clusters spanned multiple jurisdictions and persisted for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&gt;5 years. Genomic analysis inferred low rates of Mtb drug resistance in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Australia.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8345C3">
        <w:rPr>
          <w:rFonts w:ascii="宋体" w:eastAsia="宋体" w:hAnsi="宋体" w:cs="宋体"/>
          <w:b/>
          <w:color w:val="000000" w:themeColor="text1"/>
          <w:szCs w:val="24"/>
        </w:rPr>
        <w:t>INTERPRETATION: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 This first-of-a-kind study on genomic diversity of Mtb in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Australia highlighted the benefits of national aggregation and analysis of Mtb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sequencing data. It identified multi-jurisdictional clusters which, on average,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persisted longer than clusters within jurisdictions. We also established the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framework and infrastructure for implementing national coordination, detection,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and surveillance of priority clusters to enhance tuberculosis control in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Australia.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8345C3">
        <w:rPr>
          <w:rFonts w:ascii="宋体" w:eastAsia="宋体" w:hAnsi="宋体" w:cs="宋体"/>
          <w:b/>
          <w:color w:val="000000" w:themeColor="text1"/>
          <w:szCs w:val="24"/>
        </w:rPr>
        <w:t>FUNDING: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 Australian National Health and Medical Research Council, Medical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Research Futures Fund (FSPGN00049).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 2026 The Author(s).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DOI: 10.1016/j.lanwpc.2026.101928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PMCID: PMC13427501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PMID: 42541282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8345C3" w:rsidRDefault="00EF53A4" w:rsidP="00465EB7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2</w:t>
      </w:r>
      <w:r w:rsidR="00465EB7" w:rsidRPr="008345C3">
        <w:rPr>
          <w:rFonts w:ascii="宋体" w:eastAsia="宋体" w:hAnsi="宋体" w:cs="宋体"/>
          <w:b/>
          <w:color w:val="FF0000"/>
          <w:szCs w:val="24"/>
        </w:rPr>
        <w:t xml:space="preserve">. Clin Microbiol Infect. 2026 Jul 31:S1198-743X(26)00408-8. doi: </w:t>
      </w:r>
    </w:p>
    <w:p w:rsidR="00465EB7" w:rsidRPr="008345C3" w:rsidRDefault="00465EB7" w:rsidP="00465EB7">
      <w:pPr>
        <w:rPr>
          <w:rFonts w:ascii="宋体" w:eastAsia="宋体" w:hAnsi="宋体" w:cs="宋体"/>
          <w:b/>
          <w:color w:val="FF0000"/>
          <w:szCs w:val="24"/>
        </w:rPr>
      </w:pPr>
      <w:r w:rsidRPr="008345C3">
        <w:rPr>
          <w:rFonts w:ascii="宋体" w:eastAsia="宋体" w:hAnsi="宋体" w:cs="宋体"/>
          <w:b/>
          <w:color w:val="FF0000"/>
          <w:szCs w:val="24"/>
        </w:rPr>
        <w:t>10.1016/j.cmi.2026.07.041. Online ahead of print.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Dual automated liquid culture strategy improves mycobacterial recovery and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reveals limitations of Xpert MTB/RIF Ultra.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Fernández-Blázquez A(1), Sabater-Cabrera C(1), Arias-Guillén M(2), López-Medrano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R(3), Asensi-Álvarez V(4), Palacios-Gutiérrez JJ(5).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(1)Regional Mycobacteria Reference Unit, Microbiology Laboratory, Central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University Hospital of Asturias, Oviedo, Asturias, Spain; Health Research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Institute of the Principality of Asturias, Translational Microbiology group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(ISPA), Oviedo, Asturias, Spain.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(2)Respiratory Department, Central University Hospital of Asturias, Faculty of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Medicine, University of Oviedo, Oviedo, Asturias, Spain. CIBER-Respiratory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Diseases, Carlos III Health Institute.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(3)Microbiology Laboratory, Complejo Asistencial Universitario de León (CAULE),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León, Spain.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(4)Infectious Diseases Unit, Internal Medicine Service, Central University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Hospital of Asturias, Oviedo, Asturias Spain.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(5)Regional Mycobacteria Reference Unit, Microbiology Laboratory, Central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University Hospital of Asturias, Oviedo, Asturias, Spain; Health Research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Institute of the Principality of Asturias, Translational Microbiology group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(ISPA), Oviedo, Asturias, Spain. Electronic address: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juanjose.palaciosgutierrez@gmail.com.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DOI: 10.1016/j.cmi.2026.07.041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PMID: 42537883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8345C3" w:rsidRDefault="00EF53A4" w:rsidP="00465EB7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3</w:t>
      </w:r>
      <w:r w:rsidR="00465EB7" w:rsidRPr="008345C3">
        <w:rPr>
          <w:rFonts w:ascii="宋体" w:eastAsia="宋体" w:hAnsi="宋体" w:cs="宋体"/>
          <w:b/>
          <w:color w:val="FF0000"/>
          <w:szCs w:val="24"/>
        </w:rPr>
        <w:t xml:space="preserve">. Clin Microbiol Infect. 2026 Jul 31:S1198-743X(26)00400-3. doi: </w:t>
      </w:r>
    </w:p>
    <w:p w:rsidR="00465EB7" w:rsidRPr="008345C3" w:rsidRDefault="00465EB7" w:rsidP="00465EB7">
      <w:pPr>
        <w:rPr>
          <w:rFonts w:ascii="宋体" w:eastAsia="宋体" w:hAnsi="宋体" w:cs="宋体"/>
          <w:b/>
          <w:color w:val="FF0000"/>
          <w:szCs w:val="24"/>
        </w:rPr>
      </w:pPr>
      <w:r w:rsidRPr="008345C3">
        <w:rPr>
          <w:rFonts w:ascii="宋体" w:eastAsia="宋体" w:hAnsi="宋体" w:cs="宋体"/>
          <w:b/>
          <w:color w:val="FF0000"/>
          <w:szCs w:val="24"/>
        </w:rPr>
        <w:t>10.1016/j.cmi.2026.07.033. Online ahead of print.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High treatment success in patients with microbiological and functional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rifampicin resistance: results from a multicentre Italian cohort (RIFARES-ITA).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Riccardi N(1), Matteelli A(2), Sotgiu G(3), Codecasa LR(4); RIFARES-ITA Study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Team.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Collaborators: Gerli AG, Tripi S, Pontarelli A, Zucchi P, Valente M, Di Gennaro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F, Monari C, Davoli C, Armellini M, Cerri S, Guido G, De Iaco G, Allavena L,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Fumagalli G, Ferrarese M, Parrella R.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(1)TB Reference Centre and Laboratory, ASST Grande Ospedale Metropolitano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Niguarda, Milan, Italy. Electronic address: niccolo.riccardi@yahoo.it.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(2)Clinic of Infectious and Tropical Diseases, Department of Clinical and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Experimental Sciences, University of Brescia, Brescia, Italy and WHO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Collaborating Centre for Tuberculosis Infection.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(3)Clinical Epidemiology and Medical Statistics Unit, Department of Medicine,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Surgery and Pharmacy, University of Sassari, Sassari, Italy.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(4)TB Reference Centre and Laboratory, ASST Grande Ospedale Metropolitano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Niguarda, Milan, Italy.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DOI: 10.1016/j.cmi.2026.07.033</w:t>
      </w:r>
    </w:p>
    <w:p w:rsidR="00465EB7" w:rsidRPr="00465EB7" w:rsidRDefault="008345C3" w:rsidP="00465EB7">
      <w:pPr>
        <w:rPr>
          <w:rFonts w:ascii="宋体" w:eastAsia="宋体" w:hAnsi="宋体" w:cs="宋体" w:hint="eastAsia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t>PMID: 42537881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8345C3" w:rsidRDefault="00EF53A4" w:rsidP="00465EB7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4</w:t>
      </w:r>
      <w:r w:rsidR="00465EB7" w:rsidRPr="008345C3">
        <w:rPr>
          <w:rFonts w:ascii="宋体" w:eastAsia="宋体" w:hAnsi="宋体" w:cs="宋体"/>
          <w:b/>
          <w:color w:val="FF0000"/>
          <w:szCs w:val="24"/>
        </w:rPr>
        <w:t xml:space="preserve">. Infect Dis Now. 2026 Jul 31:105335. doi: 10.1016/j.idnow.2026.105335. Online </w:t>
      </w:r>
    </w:p>
    <w:p w:rsidR="00465EB7" w:rsidRPr="008345C3" w:rsidRDefault="00465EB7" w:rsidP="00465EB7">
      <w:pPr>
        <w:rPr>
          <w:rFonts w:ascii="宋体" w:eastAsia="宋体" w:hAnsi="宋体" w:cs="宋体"/>
          <w:b/>
          <w:color w:val="FF0000"/>
          <w:szCs w:val="24"/>
        </w:rPr>
      </w:pPr>
      <w:r w:rsidRPr="008345C3">
        <w:rPr>
          <w:rFonts w:ascii="宋体" w:eastAsia="宋体" w:hAnsi="宋体" w:cs="宋体"/>
          <w:b/>
          <w:color w:val="FF0000"/>
          <w:szCs w:val="24"/>
        </w:rPr>
        <w:t>ahead of print.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Evaluation of Xpert MTB/RIF Ultra, BD MAX MDR-TB and Anyplex MTB/NTM vs.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MGIT/MALDI-TOF in mycobacterial diagnosis.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Camacho-Ortiz A(1), Salas-Treviño D(1), Flores-Treviño S(1), Bocanegra Ibarias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P(2).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(1)Department of Infectious Diseases, University Hospital "Dr. José Eleuterio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González", Autonomous University of Nuevo Leon, Monterrey, Mexico.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(2)Department of Infectious Diseases, University Hospital "Dr. José Eleuterio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González", Autonomous University of Nuevo Leon, Monterrey, Mexico. Electronic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address: paola.bocanegraib@gmail.com.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8345C3">
        <w:rPr>
          <w:rFonts w:ascii="宋体" w:eastAsia="宋体" w:hAnsi="宋体" w:cs="宋体"/>
          <w:b/>
          <w:color w:val="000000" w:themeColor="text1"/>
          <w:szCs w:val="24"/>
        </w:rPr>
        <w:t>PURPOSE: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 Early tuberculosis (TB) diagnosis is critical for overall health,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enabling prompt treatment initiation and decreased mortality. This study is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aimed at evaluating the respective performances of Xpert MTB/RIF Ultra, BD MAX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MDR-TB and Anyplex MTB/NTM compared to microbiological methods of diagnosing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mycobacteria.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8345C3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 Respiratory specimens taken from a third-level hospital in Monterrey,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Mexico between January 2025 and January 2026 were included. Samples were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processed for mycobacteria identification by microbiological (Lowenstein-Jensen,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MGIT culture, and MALDI-TOF mass spectrometry) and molecular methods (Xpert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MTB/RIF Ultra, BD MAX MDR-TB, and Anyplex MTB/NTM). The diagnostic performance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of each methodology was evaluated in terms of sensitivity and specificity, as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well as degree of agreement between results.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8345C3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 During the study period, 131 samples were tested for microbiological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culture and concomitantly processed by Anyplex (n</w:t>
      </w:r>
      <w:r w:rsidRPr="00465EB7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465EB7">
        <w:rPr>
          <w:rFonts w:ascii="宋体" w:eastAsia="宋体" w:hAnsi="宋体" w:cs="宋体"/>
          <w:color w:val="000000" w:themeColor="text1"/>
          <w:szCs w:val="24"/>
        </w:rPr>
        <w:t>=</w:t>
      </w:r>
      <w:r w:rsidRPr="00465EB7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465EB7">
        <w:rPr>
          <w:rFonts w:ascii="宋体" w:eastAsia="宋体" w:hAnsi="宋体" w:cs="宋体"/>
          <w:color w:val="000000" w:themeColor="text1"/>
          <w:szCs w:val="24"/>
        </w:rPr>
        <w:t>121, 92.4%), BD Max (n</w:t>
      </w:r>
      <w:r w:rsidRPr="00465EB7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465EB7">
        <w:rPr>
          <w:rFonts w:ascii="宋体" w:eastAsia="宋体" w:hAnsi="宋体" w:cs="宋体"/>
          <w:color w:val="000000" w:themeColor="text1"/>
          <w:szCs w:val="24"/>
        </w:rPr>
        <w:t>=</w:t>
      </w:r>
      <w:r w:rsidRPr="00465EB7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82,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62.6%), and Xpert (n</w:t>
      </w:r>
      <w:r w:rsidRPr="00465EB7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465EB7">
        <w:rPr>
          <w:rFonts w:ascii="宋体" w:eastAsia="宋体" w:hAnsi="宋体" w:cs="宋体"/>
          <w:color w:val="000000" w:themeColor="text1"/>
          <w:szCs w:val="24"/>
        </w:rPr>
        <w:t>=</w:t>
      </w:r>
      <w:r w:rsidRPr="00465EB7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41, 31.3%). The sensitivity, specificity, and concordance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of each molecular method with regard to microbiological culture was 100%, 70.4%,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and κ</w:t>
      </w:r>
      <w:r w:rsidRPr="00465EB7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465EB7">
        <w:rPr>
          <w:rFonts w:ascii="宋体" w:eastAsia="宋体" w:hAnsi="宋体" w:cs="宋体"/>
          <w:color w:val="000000" w:themeColor="text1"/>
          <w:szCs w:val="24"/>
        </w:rPr>
        <w:t>=</w:t>
      </w:r>
      <w:r w:rsidRPr="00465EB7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0.619 for Xpert; 97.1%, 83.7%, and </w:t>
      </w:r>
      <w:r w:rsidRPr="00465EB7">
        <w:rPr>
          <w:rFonts w:ascii="宋体" w:eastAsia="宋体" w:hAnsi="宋体" w:cs="宋体" w:hint="eastAsia"/>
          <w:color w:val="000000" w:themeColor="text1"/>
          <w:szCs w:val="24"/>
        </w:rPr>
        <w:t>κ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 =0.728 for Anyplex; and 88.9%,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85.0% and κ =0.730 for BD MAX. Comparison of Xpert, Anyplex, and BD MAX,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including paired samples (n</w:t>
      </w:r>
      <w:r w:rsidRPr="00465EB7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465EB7">
        <w:rPr>
          <w:rFonts w:ascii="宋体" w:eastAsia="宋体" w:hAnsi="宋体" w:cs="宋体"/>
          <w:color w:val="000000" w:themeColor="text1"/>
          <w:szCs w:val="24"/>
        </w:rPr>
        <w:t>=</w:t>
      </w:r>
      <w:r w:rsidRPr="00465EB7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41), showed high sensitivity (100%, 100%, and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92.9%), moderate specificity (70.4%, 81.5%, and 77.5%), and good concordance (κ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=0.619, 0.750, and 0.650) with microbiological culture.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8345C3">
        <w:rPr>
          <w:rFonts w:ascii="宋体" w:eastAsia="宋体" w:hAnsi="宋体" w:cs="宋体"/>
          <w:b/>
          <w:color w:val="000000" w:themeColor="text1"/>
          <w:szCs w:val="24"/>
        </w:rPr>
        <w:t>CONCLUSION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: All three molecular methods showed good concordance with the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reference method for MTC detection. While Xpert had lower specificity than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Anyplex and BD MAX, the three methodologies all showed good concordance with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microbiological culture.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Copyright © 2026. Published by Elsevier Masson SAS.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DOI: 10.1016/j.idnow.2026.105335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PMID: 42537848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8345C3" w:rsidRDefault="00EF53A4" w:rsidP="00465EB7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5</w:t>
      </w:r>
      <w:r w:rsidR="00465EB7" w:rsidRPr="008345C3">
        <w:rPr>
          <w:rFonts w:ascii="宋体" w:eastAsia="宋体" w:hAnsi="宋体" w:cs="宋体"/>
          <w:b/>
          <w:color w:val="FF0000"/>
          <w:szCs w:val="24"/>
        </w:rPr>
        <w:t xml:space="preserve">. Int J Infect Dis. 2026 Jul 31:109024. doi: 10.1016/j.ijid.2026.109024. Online </w:t>
      </w:r>
    </w:p>
    <w:p w:rsidR="00465EB7" w:rsidRPr="008345C3" w:rsidRDefault="00465EB7" w:rsidP="00465EB7">
      <w:pPr>
        <w:rPr>
          <w:rFonts w:ascii="宋体" w:eastAsia="宋体" w:hAnsi="宋体" w:cs="宋体"/>
          <w:b/>
          <w:color w:val="FF0000"/>
          <w:szCs w:val="24"/>
        </w:rPr>
      </w:pPr>
      <w:r w:rsidRPr="008345C3">
        <w:rPr>
          <w:rFonts w:ascii="宋体" w:eastAsia="宋体" w:hAnsi="宋体" w:cs="宋体"/>
          <w:b/>
          <w:color w:val="FF0000"/>
          <w:szCs w:val="24"/>
        </w:rPr>
        <w:t>ahead of print.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IRGM genetic variants associate with tuberculosis disease in a European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population.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Alonzi T(1), Navarra A(2), Durodoye R(3), Bartlett J(3), Garbuglia AR(4), Lapa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D(4), Vanini V(1), Cuzzi G(1), Capri A(5), Santoro A(6), Puro V(7), Girardi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E(8), Gualano G(9), Palmieri F(9), Fimia GM(10), Piacentini M(10), Verma A(11),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Williams SM(3), Sirugo G(11), Goletti D(12).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(1)Translational Research Unit, National Institute for Infectious Diseases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Lazzaro Spallanzani-IRCCS, 00149 Rome, Italy.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(2)Epidemiology Unit, National Institute for Infectious Diseases Lazzaro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Spallanzani-IRCCS, 00149 Rome, Italy.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(3)Department of Population and Quantitative Health Sciences, Case Western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Reserve University, Cleveland, Ohio.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(4)Virology Unit, National Institute for Infectious Diseases Lazzaro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Spallanzani-IRCCS, 00149 Rome, Italy.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(5)Occupational Medicine Service, National Institute for Infectious Diseases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Lazzaro Spallanzani-IRCCS, 00149 Rome, Italy.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(6)Occupational Medicine Unit Bambino Gesù Children's Hospital-IRCCS, 00165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Rome, Italy.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(7)U.O.C. Risk Management, National Institute for Infectious Diseases "Lazzaro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Spallanzani" Istituto di Ricovero e Cura a Carattere Scientifico (IRCCS), Rome,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Italy.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(8)Scientific Direction, National Institute for Infectious Diseases "Lazzaro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Spallanzani" Istituto di Ricovero e Cura a Carattere Scientifico (IRCCS), Rome,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Italy.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(9)Respiratory Infectious Diseases Unit, National Institute for Infectious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Diseases "Lazzaro Spallanzani" IRCCS, Rome, Italy.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(10)Laboratory of Cellular Biology and Electron Microscopy, National Institute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for Infectious Diseases Lazzaro Spallanzani-IRCCS, Rome, Italy.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(11)Department of Medicine, Division of Translational Medicine and Human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Genetics, University of Pennsylvania, Perelman School of Medicine, Philadelphia.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(12)Translational Research Unit, National Institute for Infectious Diseases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Lazzaro Spallanzani-IRCCS, 00149 Rome, Italy.. Electronic address: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delia.goletti@inmi.it.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8345C3">
        <w:rPr>
          <w:rFonts w:ascii="宋体" w:eastAsia="宋体" w:hAnsi="宋体" w:cs="宋体"/>
          <w:b/>
          <w:color w:val="000000" w:themeColor="text1"/>
          <w:szCs w:val="24"/>
        </w:rPr>
        <w:t xml:space="preserve">BACKGROUND: 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Autophagy is a key host defense mechanism against Mycobacterium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tuberculosis (Mtb). The autophagy</w:t>
      </w:r>
      <w:r w:rsidRPr="00465EB7">
        <w:rPr>
          <w:rFonts w:ascii="MS Gothic" w:eastAsia="MS Gothic" w:hAnsi="MS Gothic" w:cs="MS Gothic" w:hint="eastAsia"/>
          <w:color w:val="000000" w:themeColor="text1"/>
          <w:szCs w:val="24"/>
        </w:rPr>
        <w:t>‑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regulating gene, immunity-related GTPase M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(IRGM), may influence tuberculosis (TB) susceptibility.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8345C3">
        <w:rPr>
          <w:rFonts w:ascii="宋体" w:eastAsia="宋体" w:hAnsi="宋体" w:cs="宋体"/>
          <w:b/>
          <w:color w:val="000000" w:themeColor="text1"/>
          <w:szCs w:val="24"/>
        </w:rPr>
        <w:t xml:space="preserve">OBJECTIVE: 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To investigate whether two IRGM single-nucleotide polymorphisms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(SNP), rs4958847 and rs72553867, are associated with TB disease and/or TB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infection (TBI).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8345C3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 An unmatched case-control study was conducted at the National Institute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of Infectious Diseases L. Spallanzani-IRCCS, Italy. Logistic regression analyses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evaluated the effects of individual SNPs and their diplotypes on TB status.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8345C3">
        <w:rPr>
          <w:rFonts w:ascii="宋体" w:eastAsia="宋体" w:hAnsi="宋体" w:cs="宋体"/>
          <w:b/>
          <w:color w:val="000000" w:themeColor="text1"/>
          <w:szCs w:val="24"/>
        </w:rPr>
        <w:t xml:space="preserve">RESULTS: 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Among 709 participants enrolled in Italy with diverse European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ancestries, 644 individuals with complete data were included. Individual SNP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analysis of 194 TB patients, 194 TBI individuals, and 256 TB-free controls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revealed no significant associations with TB status. However, diplotype analysis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identified an association between the rs4958847-rs72553867 GG-AC vs GG-CC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diplotype with TB diseases with respect to TB-free group (OR=2.56, 95%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CI:1.18-5.56).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8345C3">
        <w:rPr>
          <w:rFonts w:ascii="宋体" w:eastAsia="宋体" w:hAnsi="宋体" w:cs="宋体"/>
          <w:b/>
          <w:color w:val="000000" w:themeColor="text1"/>
          <w:szCs w:val="24"/>
        </w:rPr>
        <w:t>CONCLUSIONS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: Although the individual IRGM variants were not associated with TB,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combined diplotype analysis indicated a potential role for IRGM-mediated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autophagy in TB disease within European populations.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Copyright © 2026. Published by Elsevier Ltd.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DOI: 10.1016/j.ijid.2026.109024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PMID: 42537778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8345C3" w:rsidRDefault="00EF53A4" w:rsidP="00465EB7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6</w:t>
      </w:r>
      <w:r w:rsidR="00465EB7" w:rsidRPr="008345C3">
        <w:rPr>
          <w:rFonts w:ascii="宋体" w:eastAsia="宋体" w:hAnsi="宋体" w:cs="宋体"/>
          <w:b/>
          <w:color w:val="FF0000"/>
          <w:szCs w:val="24"/>
        </w:rPr>
        <w:t xml:space="preserve">. Biochim Biophys Acta Proteins Proteom. 2026 Jul 31;1874(6):141167. doi: </w:t>
      </w:r>
    </w:p>
    <w:p w:rsidR="00465EB7" w:rsidRPr="008345C3" w:rsidRDefault="00465EB7" w:rsidP="00465EB7">
      <w:pPr>
        <w:rPr>
          <w:rFonts w:ascii="宋体" w:eastAsia="宋体" w:hAnsi="宋体" w:cs="宋体"/>
          <w:b/>
          <w:color w:val="FF0000"/>
          <w:szCs w:val="24"/>
        </w:rPr>
      </w:pPr>
      <w:r w:rsidRPr="008345C3">
        <w:rPr>
          <w:rFonts w:ascii="宋体" w:eastAsia="宋体" w:hAnsi="宋体" w:cs="宋体"/>
          <w:b/>
          <w:color w:val="FF0000"/>
          <w:szCs w:val="24"/>
        </w:rPr>
        <w:t>10.1016/j.bbapap.2026.141167. Online ahead of print.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Biochemical characterization and assay development for adenylosuccinate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synthetase Rv0357c from Mycobacterium tuberculosis.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Singh V(1), Zhang R(1), Chen K(1), Li Z(1), Li H(2).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(1)Department of Pharmacology and Toxicology, R Ken Coit College of Pharmacy,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1703 E Mabel St, Tucson, AZ 85721-0207, USA.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(2)Department of Pharmacology and Toxicology, R Ken Coit College of Pharmacy,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1703 E Mabel St, Tucson, AZ 85721-0207, USA; The BIO5 Institute, The University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of Arizona, Tucson, AZ 85721, USA; Biological Chemistry Program, Department of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Chemistry and Biochemistry, College of Science &amp; College of Medicine, The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University of Arizona, Tucson, AZ 85721, USA; Department of Molecular &amp; Cellular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Biology, College of Science, The University of Arizona, Tucson, AZ 85721, USA.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Electronic address: hli001@arizona.edu.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The global rise of drug-resistant Mycobacterium tuberculosis (Mtb) underscores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an urgent need for antitubercular agents with novel targets and mechanisms of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action. Among these, the de novo purine biosynthesis pathway is essential for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Mtb growth and survival, making its constituent enzymes attractive targets for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therapeutic intervention. Within this pathway, adenylosuccinate (ADS) synthetase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(ADSS) Rv0357c catalyzes the first committed step in biosynthesis of adenosine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monophosphate (AMP) by converting inosine monophosphate (IMP) to ADS through a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GTP-dependent reaction with l-aspartate. Despite its importance, Mtb ADSS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remains poorly characterized at the biochemical level. In this study, we report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the expression, purification, and enzymatic characterization of recombinant Mtb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ADSS. To overcome the challenge of the enzyme being predominantly expressed as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inclusion bodies in Escherichia coli, we established both protein refolding and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chaperone-assisted expression strategies to obtain soluble, catalytically active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protein. Using complementary spectrophotometric, colorimetric, and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fluorescence-based assays, we determined steady-state kinetic parameters and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confirmed robust ADSS activity consistent with Michaelis-Menten behaviour.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Furthermore, we developed scalable, nonradioactive assays compatible with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high-throughput screening (HTS), enabling the quantitative monitoring of ADSS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activity via GTP hydrolysis and phosphate release. As a proof of concept, the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MESG assay successfully detected inhibition of Mtb ADSS by the previously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reported ADSS inhibitor Aurodox, demonstrating its utility for inhibitor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characterization and screening. Collectively, these results provide the first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comprehensive biochemical framework for studying Mtb ADSS and establish a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foundation for structure-guided inhibitor discovery targeting purine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biosynthesis as a novel antitubercular strategy.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Copyright © 2026. Published by Elsevier B.V.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DOI: 10.1016/j.bbapap.2026.141167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PMID: 42537712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8345C3" w:rsidRDefault="00EF53A4" w:rsidP="00465EB7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7</w:t>
      </w:r>
      <w:r w:rsidR="00465EB7" w:rsidRPr="008345C3">
        <w:rPr>
          <w:rFonts w:ascii="宋体" w:eastAsia="宋体" w:hAnsi="宋体" w:cs="宋体"/>
          <w:b/>
          <w:color w:val="FF0000"/>
          <w:szCs w:val="24"/>
        </w:rPr>
        <w:t>. Infection. 2026 Jul 31. doi: 10.1007/s15010-026-02913-9. Online ahead of print.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Ultrasensitive urine LAM testing in HIV-negative tuberculosis: promising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progress, but not yet a standalone diagnostic.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Munir AB(1), Imran H(2), Faraz N(2).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(1)Department of Medicine, Foundation University Medical College, Islamabad,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Pakistan. ab9957612@gmail.com.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(2)Department of Medicine, Foundation University Medical College, Islamabad,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Pakistan.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DOI: 10.1007/s15010-026-02913-9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PMID: 42536298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8345C3" w:rsidRDefault="00EF53A4" w:rsidP="00465EB7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8</w:t>
      </w:r>
      <w:r w:rsidR="00465EB7" w:rsidRPr="008345C3">
        <w:rPr>
          <w:rFonts w:ascii="宋体" w:eastAsia="宋体" w:hAnsi="宋体" w:cs="宋体"/>
          <w:b/>
          <w:color w:val="FF0000"/>
          <w:szCs w:val="24"/>
        </w:rPr>
        <w:t>. Antimicrob Agents Chemother. 2026 Jul 31:e00421</w:t>
      </w:r>
      <w:r w:rsidR="008345C3">
        <w:rPr>
          <w:rFonts w:ascii="宋体" w:eastAsia="宋体" w:hAnsi="宋体" w:cs="宋体"/>
          <w:b/>
          <w:color w:val="FF0000"/>
          <w:szCs w:val="24"/>
        </w:rPr>
        <w:t xml:space="preserve">26. doi: 10.1128/aac.00421-26. </w:t>
      </w:r>
      <w:r w:rsidR="00465EB7" w:rsidRPr="008345C3">
        <w:rPr>
          <w:rFonts w:ascii="宋体" w:eastAsia="宋体" w:hAnsi="宋体" w:cs="宋体"/>
          <w:b/>
          <w:color w:val="FF0000"/>
          <w:szCs w:val="24"/>
        </w:rPr>
        <w:t>Online ahead of print.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Adaptive immunity shapes baseline physiology of M. tuberculosis in high-dose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versus low-dose infection BALB/c mouse drug treatment models.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Hendrix J(1)(2)(3), Al Mubarak R(1)(2)(3), Rossmassler K(1)(2)(3)(4), Nielsen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H(1)(2)(3), Wynn E(3)(5)(6), Moore C(3)(5)(6), Jones IL(3)(7), Voskuil MI(3)(8),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Podell BK(3)(7), Robertson GT(3)(7), Wang C(#)(8), Walter ND(#)(1)(2)(3).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(1)Division of Pulmonary Sciences and Critical Care Medicine, University of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Colorado, Anschutz Medical Campus, Aurora, Colorado, USA.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(2)Rocky Mountain Regional VA Medical Center, Aurora, Colorado, USA.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(3)Consortium for Applied Microbial Metrics, Aurora, Colorado, USA.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(4)Linda Crnic Institute for Down Syndrome, University of Colorado Anschutz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Medical Campus, Aurora, Colorado, USA.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(5)Center for Genes, Environment and Health, National Jewish Health, Denver,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Colorado, USA.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(6)Department of Biostatistics and Informatics, University of Colorado Anschutz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Medical Campus, Aurora, Colorado, USA.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(7)Mycobacteria Research Laboratories, Department of Microbiology, Immunology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and Pathology, Colorado State University, Fort Collins, Colorado, USA.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(8)Department of Immunology and Microbiology, University of Colorado, Anschutz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Medical Campus, Aurora, Colorado, USA.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(#)Contributed equally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Preclinical tuberculosis (TB) drug evaluation relies heavily on mouse infection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models. Drug efficacy varies depending on inoculum and the timing of treatment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initiation. These differences reflect, in part, physiological adaptations of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Mycobacterium tuberculosis (Mtb) to host immune pressure. We used novel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molecular markers of pathogen health (RS ratio and SEARCH-TB) to contrast Mtb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phenotypes in the BALB/c high dose aerosol (HDA) subacute TB and low dose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aerosol (LDA) chronic TB infection models, focusing on the onset of adaptive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immunity. We found that the onset of adaptive immunity coincided with a rapid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reprogramming of Mtb physiology, characterized by suppressed respiration,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metabolism, and biosynthesis, together with induction of stress and nutrient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acquisition pathways. Changes in key Mtb processes were concordant with changes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in host expression of canonical features of adaptive immunity. Our results also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explain key model-specific differences in drug efficacy: when used for drug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evaluation, the HDA model begins treatment during the innate immune phase when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Mtb are metabolically active, whereas the LDA model initiates therapy after host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adaptive immunity has already activated and the bacterial population is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immune-constrained. The HDA model is shown to be a mixed model, spanning immune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phases with initial treatment acting on replicating bacteria and later treatment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acting on immune-constrained populations. Together, the two models offer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complementary perspectives on therapeutic activity across the spectrum of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bacterial states and provide a framework for designing regimens that are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effective against both active and immune-constrained Mtb.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DOI: 10.1128/aac.00421-26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PMID: 42535936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8345C3" w:rsidRDefault="00EF53A4" w:rsidP="00465EB7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9</w:t>
      </w:r>
      <w:r w:rsidR="00465EB7" w:rsidRPr="008345C3">
        <w:rPr>
          <w:rFonts w:ascii="宋体" w:eastAsia="宋体" w:hAnsi="宋体" w:cs="宋体"/>
          <w:b/>
          <w:color w:val="FF0000"/>
          <w:szCs w:val="24"/>
        </w:rPr>
        <w:t>. Vet Rec. 2026 Jul 31. doi: 10.1002/vetr.71020. Online ahead of print.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Temporal and seasonal trends of bovine tuberculosis in the Irish cattle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population (2008-2024).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Madden JM(1), Gormley E(2), Breslin P(3), Barrett D(3), Brock J(4), Tratalos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JA(1), Griffin J(1), Horan M(3), Casey-Bryars M(2).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(1)Centre for Veterinary Epidemiology and Risk Analysis (CVERA), School of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Veterinary Medicine, University College Dublin, Dublin, Ireland.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(2)School of Veterinary Medicine, University College Dublin, Dublin, Ireland.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(3)Ruminant Animal Health Programmes Division, Department of Agriculture, Food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and the Marine (DAFM), Backweston, Ireland.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(4)Animal Health Ireland, Carrick-on-Shannon, Ireland.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8345C3">
        <w:rPr>
          <w:rFonts w:ascii="宋体" w:eastAsia="宋体" w:hAnsi="宋体" w:cs="宋体"/>
          <w:b/>
          <w:color w:val="000000" w:themeColor="text1"/>
          <w:szCs w:val="24"/>
        </w:rPr>
        <w:t>BACKGROUND: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 Bovine tuberculosis (bTB) has substantial impacts on the Irish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cattle industry. Between 2016 and 2024, its burden increased in Irish cattle. As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an initial step towards understanding drivers of this increase, we explore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long-term trends in measures of bTB burden and cattle demographics in Ireland.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8345C3">
        <w:rPr>
          <w:rFonts w:ascii="宋体" w:eastAsia="宋体" w:hAnsi="宋体" w:cs="宋体"/>
          <w:b/>
          <w:color w:val="000000" w:themeColor="text1"/>
          <w:szCs w:val="24"/>
        </w:rPr>
        <w:t xml:space="preserve">METHODS: 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Using data from 2008 to 2024, we describe changes in cattle management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and demographics over time, as well as measures of bTB burden at herd- and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animal-level. A negative binomial regression model was implemented to explore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the association between year and herd type and the count of bTB cases.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8345C3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 Between 2008 and 2024, dairy herd numbers remained stable (</w:t>
      </w:r>
      <w:r w:rsidRPr="00465EB7">
        <w:rPr>
          <w:rFonts w:ascii="Cambria Math" w:eastAsia="宋体" w:hAnsi="Cambria Math" w:cs="Cambria Math"/>
          <w:color w:val="000000" w:themeColor="text1"/>
          <w:szCs w:val="24"/>
        </w:rPr>
        <w:t>∼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12% of all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herds), but expanded significantly in herd size (median increased from 119 to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172), with the proportion of national cattle in dairy herds increasing from 23%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to 34%. The proportion of bTB cases from dairy farms doubled. In 2024, 51% of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all individual bTB cases were from dairy herds compared to 26% in 2008.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8345C3">
        <w:rPr>
          <w:rFonts w:ascii="宋体" w:eastAsia="宋体" w:hAnsi="宋体" w:cs="宋体"/>
          <w:b/>
          <w:color w:val="000000" w:themeColor="text1"/>
          <w:szCs w:val="24"/>
        </w:rPr>
        <w:t>LIMITATIONS: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 There may be misclassification biases in the disclosure of bTB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cases across years due to policy changes in response to emerging evidence.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8345C3">
        <w:rPr>
          <w:rFonts w:ascii="宋体" w:eastAsia="宋体" w:hAnsi="宋体" w:cs="宋体"/>
          <w:b/>
          <w:color w:val="000000" w:themeColor="text1"/>
          <w:szCs w:val="24"/>
        </w:rPr>
        <w:t>CONCLUSION: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 The burden of bTB has increased substantially since 2015, which has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coincided with a large increase in median dairy herd size.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 2026 The Author(s). Veterinary Record published by John Wiley &amp; Sons Ltd on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behalf of British Veterinary Association.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DOI: 10.1002/vetr.71020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PMID: 42535504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8345C3" w:rsidRDefault="00465EB7" w:rsidP="00465EB7">
      <w:pPr>
        <w:rPr>
          <w:rFonts w:ascii="宋体" w:eastAsia="宋体" w:hAnsi="宋体" w:cs="宋体"/>
          <w:b/>
          <w:color w:val="FF0000"/>
          <w:szCs w:val="24"/>
        </w:rPr>
      </w:pPr>
      <w:r w:rsidRPr="008345C3">
        <w:rPr>
          <w:rFonts w:ascii="宋体" w:eastAsia="宋体" w:hAnsi="宋体" w:cs="宋体"/>
          <w:b/>
          <w:color w:val="FF0000"/>
          <w:szCs w:val="24"/>
        </w:rPr>
        <w:t>1</w:t>
      </w:r>
      <w:r w:rsidR="00EF53A4">
        <w:rPr>
          <w:rFonts w:ascii="宋体" w:eastAsia="宋体" w:hAnsi="宋体" w:cs="宋体"/>
          <w:b/>
          <w:color w:val="FF0000"/>
          <w:szCs w:val="24"/>
        </w:rPr>
        <w:t>0</w:t>
      </w:r>
      <w:r w:rsidRPr="008345C3">
        <w:rPr>
          <w:rFonts w:ascii="宋体" w:eastAsia="宋体" w:hAnsi="宋体" w:cs="宋体"/>
          <w:b/>
          <w:color w:val="FF0000"/>
          <w:szCs w:val="24"/>
        </w:rPr>
        <w:t xml:space="preserve">. Clin Case Rep. 2026 Jul 29;14(8):e73249. doi: 10.1002/ccr3.73249. eCollection </w:t>
      </w:r>
    </w:p>
    <w:p w:rsidR="00465EB7" w:rsidRPr="008345C3" w:rsidRDefault="00465EB7" w:rsidP="00465EB7">
      <w:pPr>
        <w:rPr>
          <w:rFonts w:ascii="宋体" w:eastAsia="宋体" w:hAnsi="宋体" w:cs="宋体"/>
          <w:b/>
          <w:color w:val="FF0000"/>
          <w:szCs w:val="24"/>
        </w:rPr>
      </w:pPr>
      <w:r w:rsidRPr="008345C3">
        <w:rPr>
          <w:rFonts w:ascii="宋体" w:eastAsia="宋体" w:hAnsi="宋体" w:cs="宋体"/>
          <w:b/>
          <w:color w:val="FF0000"/>
          <w:szCs w:val="24"/>
        </w:rPr>
        <w:t>2026 Aug.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Peritoneal Tuberculosis Presenting as Massive Ascites in Pregnancy: A Case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Report.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lastRenderedPageBreak/>
        <w:t>Gyamtsho S(1)(2), Dechen S(2), Choden S(3).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(1)Department of Obstetrics and Gynecology Jigme Dorji Wangchuck National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Referral Hospital Thimphu Bhutan.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(2)Faculty of Postgraduate Medicine Khesar Gyalpo University of Medical Sciences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of Bhutan Thimphu Bhutan.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(3)Department of Pathology and Laboratory Medicine Jigme Dorji Wangchuck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National Referral Hospital Thimphu Bhutan.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Abdominal tuberculosis, especially peritoneal tuberculosis, is uncommon in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pregnancy. The diagnosis during pregnancy is a challenge due to many signs and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symptoms being nonspecific and mimicking the symptoms of pregnancy. The presence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of ascites, with anorexia and weight loss in pregnancy from endemic regions,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should be addressed with suspicion of abdominal tuberculosis.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 2026 The Author(s). Clinical Case Reports published by John Wiley &amp; Sons Ltd.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DOI: 10.1002/ccr3.73249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PMCID: PMC13420262</w:t>
      </w:r>
    </w:p>
    <w:p w:rsidR="00465EB7" w:rsidRPr="00465EB7" w:rsidRDefault="008345C3" w:rsidP="00465EB7">
      <w:pPr>
        <w:rPr>
          <w:rFonts w:ascii="宋体" w:eastAsia="宋体" w:hAnsi="宋体" w:cs="宋体" w:hint="eastAsia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t>PMID: 42534304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8345C3" w:rsidRDefault="00465EB7" w:rsidP="00465EB7">
      <w:pPr>
        <w:rPr>
          <w:rFonts w:ascii="宋体" w:eastAsia="宋体" w:hAnsi="宋体" w:cs="宋体"/>
          <w:b/>
          <w:color w:val="FF0000"/>
          <w:szCs w:val="24"/>
        </w:rPr>
      </w:pPr>
      <w:r w:rsidRPr="008345C3">
        <w:rPr>
          <w:rFonts w:ascii="宋体" w:eastAsia="宋体" w:hAnsi="宋体" w:cs="宋体"/>
          <w:b/>
          <w:color w:val="FF0000"/>
          <w:szCs w:val="24"/>
        </w:rPr>
        <w:t>1</w:t>
      </w:r>
      <w:r w:rsidR="00EF53A4">
        <w:rPr>
          <w:rFonts w:ascii="宋体" w:eastAsia="宋体" w:hAnsi="宋体" w:cs="宋体"/>
          <w:b/>
          <w:color w:val="FF0000"/>
          <w:szCs w:val="24"/>
        </w:rPr>
        <w:t>1</w:t>
      </w:r>
      <w:r w:rsidRPr="008345C3">
        <w:rPr>
          <w:rFonts w:ascii="宋体" w:eastAsia="宋体" w:hAnsi="宋体" w:cs="宋体"/>
          <w:b/>
          <w:color w:val="FF0000"/>
          <w:szCs w:val="24"/>
        </w:rPr>
        <w:t xml:space="preserve">. Case Rep Infect Dis. 2026 Jul 29;2026:1056322. doi: 10.1155/crdi/1056322. </w:t>
      </w:r>
    </w:p>
    <w:p w:rsidR="00465EB7" w:rsidRPr="008345C3" w:rsidRDefault="00465EB7" w:rsidP="00465EB7">
      <w:pPr>
        <w:rPr>
          <w:rFonts w:ascii="宋体" w:eastAsia="宋体" w:hAnsi="宋体" w:cs="宋体"/>
          <w:b/>
          <w:color w:val="FF0000"/>
          <w:szCs w:val="24"/>
        </w:rPr>
      </w:pPr>
      <w:r w:rsidRPr="008345C3">
        <w:rPr>
          <w:rFonts w:ascii="宋体" w:eastAsia="宋体" w:hAnsi="宋体" w:cs="宋体"/>
          <w:b/>
          <w:color w:val="FF0000"/>
          <w:szCs w:val="24"/>
        </w:rPr>
        <w:t>eCollection 2026.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Diagnosis, Management, and Outcome of Antituberculous Drug-Induced Liver Injury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in a Low-Resource Setting: A Case Report.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Alomatu S(1), Nanjoh MK(2), Moro SA(1), Adiiboka JGA(1), Alhassan PDA(1),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Hernandez OR(1)(3).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(1)Department of Internal Medicine, Tamale Teaching Hospital, Tamale, Ghana,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tamaleteachinghospital.org.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(2)Department of Public Health, Faculty of Medicine and Health Sciences, Walter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Sisulu University, Mthatha, South Africa, wsu.ac.za.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(3)School of Medicine, University for Development Studies, Tamale, Ghana,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uds.edu.gh.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8345C3">
        <w:rPr>
          <w:rFonts w:ascii="宋体" w:eastAsia="宋体" w:hAnsi="宋体" w:cs="宋体"/>
          <w:b/>
          <w:color w:val="000000" w:themeColor="text1"/>
          <w:szCs w:val="24"/>
        </w:rPr>
        <w:t>BACKGROUND: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 Antituberculous drugs carry substantial hepatotoxic risk, most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commonly manifesting as idiosyncratic drug-induced liver injury. Although cases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of antituberculosis drug-induced liver injury (AT-DILI) have been reported in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Ghana, significant challenges remain in its diagnosis, monitoring, and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management in low-resource settings.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8345C3">
        <w:rPr>
          <w:rFonts w:ascii="宋体" w:eastAsia="宋体" w:hAnsi="宋体" w:cs="宋体"/>
          <w:b/>
          <w:color w:val="000000" w:themeColor="text1"/>
          <w:szCs w:val="24"/>
        </w:rPr>
        <w:lastRenderedPageBreak/>
        <w:t xml:space="preserve">MAIN SYMPTOMS AND CLINICAL FINDINGS: 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We report the case of a 50-year-old woman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who developed severe AT-DILI, initially misdiagnosed as cholecystitis, on a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background of chronic hepatitis C infection with established liver cirrhosis.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She was referred to the Tamale Teaching Hospital during the continuation phase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of first-line antituberculosis therapy, presenting with nausea, anorexia, and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right upper quadrant abdominal pain. A clinical examination revealed mild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pallor, jaundice, Grade 1 bilateral pitting pedal edema, and moderate ascites.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8345C3">
        <w:rPr>
          <w:rFonts w:ascii="宋体" w:eastAsia="宋体" w:hAnsi="宋体" w:cs="宋体"/>
          <w:b/>
          <w:color w:val="000000" w:themeColor="text1"/>
          <w:szCs w:val="24"/>
        </w:rPr>
        <w:t>DIAGNOSIS THERAPEUTIC INTERVENTION AND OUTCOME: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 At the referral facility,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diagnostic and monitoring constraints were encountered, including the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unavailability of liver biopsy, the lack of routine baseline liver function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testing, and out-of-pocket costs for serial laboratory monitoring. In addition,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the absence of single-drug formulations of isoniazid and rifampicin precluded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sequential rechallenges, necessitating rechallenges with a fixed-dose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combination during the continuation phase. The patient failed rechallenge and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was transitioned to an all-oral second-line antituberculous regimen consisting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of bedaquiline, pretomanid, linezolid, and moxifloxacin, alongside direct-acting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antiviral therapy for chronic hepatitis C. This resulted in the resolution of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liver injury and the successful completion of tuberculosis treatment without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complications.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8345C3">
        <w:rPr>
          <w:rFonts w:ascii="宋体" w:eastAsia="宋体" w:hAnsi="宋体" w:cs="宋体"/>
          <w:b/>
          <w:color w:val="000000" w:themeColor="text1"/>
          <w:szCs w:val="24"/>
        </w:rPr>
        <w:t>CONCLUSION: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 This case highlights the diagnostic and management challenges of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AT-DILI in low-resource settings, particularly where baseline liver function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testing, serial monitoring, and access to single-drug formulations for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rechallenge are limited.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Copyright © 2026 Samuel Alomatu et al. Case Reports in Infectious Diseases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published by John Wiley &amp; Sons Ltd.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DOI: 10.1155/crdi/1056322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PMCID: PMC13420278</w:t>
      </w:r>
    </w:p>
    <w:p w:rsidR="00465EB7" w:rsidRPr="00465EB7" w:rsidRDefault="008345C3" w:rsidP="00465EB7">
      <w:pPr>
        <w:rPr>
          <w:rFonts w:ascii="宋体" w:eastAsia="宋体" w:hAnsi="宋体" w:cs="宋体" w:hint="eastAsia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t>PMID: 42534294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8345C3" w:rsidRDefault="00465EB7" w:rsidP="00465EB7">
      <w:pPr>
        <w:rPr>
          <w:rFonts w:ascii="宋体" w:eastAsia="宋体" w:hAnsi="宋体" w:cs="宋体"/>
          <w:b/>
          <w:color w:val="FF0000"/>
          <w:szCs w:val="24"/>
        </w:rPr>
      </w:pPr>
      <w:r w:rsidRPr="008345C3">
        <w:rPr>
          <w:rFonts w:ascii="宋体" w:eastAsia="宋体" w:hAnsi="宋体" w:cs="宋体"/>
          <w:b/>
          <w:color w:val="FF0000"/>
          <w:szCs w:val="24"/>
        </w:rPr>
        <w:t>1</w:t>
      </w:r>
      <w:r w:rsidR="00EF53A4">
        <w:rPr>
          <w:rFonts w:ascii="宋体" w:eastAsia="宋体" w:hAnsi="宋体" w:cs="宋体"/>
          <w:b/>
          <w:color w:val="FF0000"/>
          <w:szCs w:val="24"/>
        </w:rPr>
        <w:t>2</w:t>
      </w:r>
      <w:r w:rsidRPr="008345C3">
        <w:rPr>
          <w:rFonts w:ascii="宋体" w:eastAsia="宋体" w:hAnsi="宋体" w:cs="宋体"/>
          <w:b/>
          <w:color w:val="FF0000"/>
          <w:szCs w:val="24"/>
        </w:rPr>
        <w:t>. Ann Afr Med. 2026 Jul 30. doi: 10.4103/aam.aam_382_26. Online ahead of print.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Rare Coexistence of Endobronchial Tuberculosis and Bronchial Carcinoid Tumor: A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Diagnostic Challenge.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[Article in English, French; Abstract available in French from the publisher]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Shreya L(1), Jereen V, Arthi A, Kumar SS, Mathavan MS.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(1)Department of Respiratory Medicine, Shri Sathya Sai Medical College and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Research Institute, Sri Balaji Vidyapeeth (Deemed to be University), Puducherry,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India.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Endobronchial tuberculosis (TB) is a distinct form of pulmonary TB involving the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tracheobronchial tree and often leads to airway complications such as stenosis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and obstruction. Its coexistence with bronchial neoplasms, particularly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carcinoid tumors, is exceedingly rare and poses significant diagnostic and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therapeutic dilemmas. We report a case of a 57-year-old female presenting with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respiratory symptoms and constitutional features, suggestive of TB. Imaging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revealed a right hilar mass with airway compromise, whereas bronchoscopy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demonstrated an obstructive endobronchial lesion. Microbiological confirmation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of TB was achieved through cartridge-based nucleic acid amplification tests,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while elevated serum chromogranin levels raised suspicion of a concurrent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carcinoid tumor. The patient was initiated on anti-tubercular therapy with plans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for further oncological evaluation. This case underscores the importance of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considering dual pathology in atypical presentations and highlights the role of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multimodal diagnostic approaches in optimizing outcomes.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Copyright © 2026 Annals of African Medicine.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DOI: 10.4103/aam.aam_382_26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PMID: 42533737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8345C3" w:rsidRDefault="00465EB7" w:rsidP="00465EB7">
      <w:pPr>
        <w:rPr>
          <w:rFonts w:ascii="宋体" w:eastAsia="宋体" w:hAnsi="宋体" w:cs="宋体"/>
          <w:b/>
          <w:color w:val="FF0000"/>
          <w:szCs w:val="24"/>
        </w:rPr>
      </w:pPr>
      <w:r w:rsidRPr="008345C3">
        <w:rPr>
          <w:rFonts w:ascii="宋体" w:eastAsia="宋体" w:hAnsi="宋体" w:cs="宋体"/>
          <w:b/>
          <w:color w:val="FF0000"/>
          <w:szCs w:val="24"/>
        </w:rPr>
        <w:t>1</w:t>
      </w:r>
      <w:r w:rsidR="00EF53A4">
        <w:rPr>
          <w:rFonts w:ascii="宋体" w:eastAsia="宋体" w:hAnsi="宋体" w:cs="宋体"/>
          <w:b/>
          <w:color w:val="FF0000"/>
          <w:szCs w:val="24"/>
        </w:rPr>
        <w:t>3</w:t>
      </w:r>
      <w:r w:rsidRPr="008345C3">
        <w:rPr>
          <w:rFonts w:ascii="宋体" w:eastAsia="宋体" w:hAnsi="宋体" w:cs="宋体"/>
          <w:b/>
          <w:color w:val="FF0000"/>
          <w:szCs w:val="24"/>
        </w:rPr>
        <w:t xml:space="preserve">. Global Spine J. 2026 Jul 30:21925682261474130. doi: 10.1177/21925682261474130. </w:t>
      </w:r>
    </w:p>
    <w:p w:rsidR="00465EB7" w:rsidRPr="008345C3" w:rsidRDefault="00465EB7" w:rsidP="00465EB7">
      <w:pPr>
        <w:rPr>
          <w:rFonts w:ascii="宋体" w:eastAsia="宋体" w:hAnsi="宋体" w:cs="宋体"/>
          <w:b/>
          <w:color w:val="FF0000"/>
          <w:szCs w:val="24"/>
        </w:rPr>
      </w:pPr>
      <w:r w:rsidRPr="008345C3">
        <w:rPr>
          <w:rFonts w:ascii="宋体" w:eastAsia="宋体" w:hAnsi="宋体" w:cs="宋体"/>
          <w:b/>
          <w:color w:val="FF0000"/>
          <w:szCs w:val="24"/>
        </w:rPr>
        <w:t>Online ahead of print.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AO Spine Clinical Practice Recommendations for the Management of Spinal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Tuberculosis.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Scherer J(1)(2), Dandurand C(3), Kumar V(4), Uz Zaman A(5), Camino-Willhuber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G(6), Fisher C(3), Schroeder GD(7), El-Sharkawi M(8), Bransford R(9), Singh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Chhabra H(10), Joaquim AF(11), Bigdon SF(12).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(1)General Medicine &amp; Global Health (GMGH), Department of Medicine and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Orthopaedic Research Unit (ORU), Division of Orthopaedic Surgery, Faculty of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Health Science, University of Cape Town, Cape Town, South Africa.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(2)Center for Musculoskeletal Surgery, Charité Universitätsmedizin Berlin,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Berlin, Germany.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(3)Combined Neurosurgical and Orthopedic Spine Program, Vancouver General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Hospital, University of British Columbia, Vancouver, BC, Canada.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(4)Additional Professor of Orthopaedics, PGIMER, Chandigarh, India.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(5)Lahore Medical &amp; Dental College, Orthopaedic &amp; Spine Surgery Department,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Ghurki Trust Teaching Hospital, Lahore, Pakistan.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(6)Department of Orthopedic Surgery and Traumatology, Quirónsalud Group,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Policlínica Gipuzkoa, San Sebastián, Spain.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(7)Department of Orthopaedic Surgery, Rothman Institute at Thomas Jefferson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University Hospital, Philadelphia, PA, USA.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(8)Department of Orthopaedic and Trauma Surgery, Faculty of Medicine, Assiut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University, Assiut, Egypt.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(9)Department of Orthopaedic Surgery and Sports Medicine, University of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Washington, Harborview Medical Center, Seattle, WA, USA.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(10)Department of Spine and Rehabilitation centre, Sri Balaji Action Medical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Institute, New Delhi, India.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(11)Neurosurgery Division, Department of Neurology, State University of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Campinas, Campinas-Sao Paulo, Brazil.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(12)Department of Traumatology and Orthopaedic Surgery, Inselspital University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of Bern, Bern, Switzerland.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Study designLiterature review with clinical recommendations.ObjectiveTo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highlight impactful studies on the management of spinal tuberculosis (STB),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identified by the AO Spine Knowledge Forum Trauma and Infection group, with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recommendations for their integration into clinical practice.MethodsFour studies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addressing key phases of STB management - imaging diagnosis, laboratory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diagnosis, surgical indication and approach, and imaging-based healed status -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were reviewed. Consensus recommendations of the KF opinion leaders were graded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as strong or conditional following the GRADE methodology.ResultsAltini et al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evaluated the diagnostic value of MRI and FDG-PET/CT in spondylodiscitis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including STB; we conditionally recommend FDG-PET/CT as an adjunctive imaging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modality when MRI is inconclusive, contraindicated, or limited by artifact. Hu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et al developed a multivariable laboratory prediction model based on seven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routine indices for early STB diagnosis, achieving an AUC of 0.947; we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conditionally recommend this model as an adjunctive screening tool when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definitive microbiological testing is delayed or unavailable. Tang et al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compared anterior-only, posterior-only, and combined surgical approaches in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thoracolumbar STB; we conditionally recommend a posterior-only approach as the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preferred surgical strategy in most cases requiring operative treatment. Mittal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et al evaluated FDG-PET/CT and contrast MRI for defining healed status and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guiding treatment completion; we conditionally recommend FDG-PET/CT as an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adjunctive tool when the treatment endpoint remains uncertain or MRI is limited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by metallic implants.ConclusionThis review provides spine surgeons and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clinicians with evidence-based, expert-graded recommendations to enhance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standardization and effectiveness across the key clinical decision points in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spinal tuberculosis management.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DOI: 10.1177/21925682261474130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PMCID: PMC13423945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PMID: 42533326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DF18A4" w:rsidRDefault="00465EB7" w:rsidP="00465EB7">
      <w:pPr>
        <w:rPr>
          <w:rFonts w:ascii="宋体" w:eastAsia="宋体" w:hAnsi="宋体" w:cs="宋体"/>
          <w:b/>
          <w:color w:val="FF0000"/>
          <w:szCs w:val="24"/>
        </w:rPr>
      </w:pPr>
      <w:r w:rsidRPr="00DF18A4">
        <w:rPr>
          <w:rFonts w:ascii="宋体" w:eastAsia="宋体" w:hAnsi="宋体" w:cs="宋体"/>
          <w:b/>
          <w:color w:val="FF0000"/>
          <w:szCs w:val="24"/>
        </w:rPr>
        <w:t>1</w:t>
      </w:r>
      <w:r w:rsidR="00EF53A4">
        <w:rPr>
          <w:rFonts w:ascii="宋体" w:eastAsia="宋体" w:hAnsi="宋体" w:cs="宋体"/>
          <w:b/>
          <w:color w:val="FF0000"/>
          <w:szCs w:val="24"/>
        </w:rPr>
        <w:t>4</w:t>
      </w:r>
      <w:r w:rsidRPr="00DF18A4">
        <w:rPr>
          <w:rFonts w:ascii="宋体" w:eastAsia="宋体" w:hAnsi="宋体" w:cs="宋体"/>
          <w:b/>
          <w:color w:val="FF0000"/>
          <w:szCs w:val="24"/>
        </w:rPr>
        <w:t>. Reumatol Clin (Engl Ed). 2026 Jul 30:502173. doi:</w:t>
      </w:r>
      <w:r w:rsidR="00DF18A4">
        <w:rPr>
          <w:rFonts w:ascii="宋体" w:eastAsia="宋体" w:hAnsi="宋体" w:cs="宋体"/>
          <w:b/>
          <w:color w:val="FF0000"/>
          <w:szCs w:val="24"/>
        </w:rPr>
        <w:t xml:space="preserve"> </w:t>
      </w:r>
      <w:r w:rsidR="00DF18A4">
        <w:rPr>
          <w:rFonts w:ascii="宋体" w:eastAsia="宋体" w:hAnsi="宋体" w:cs="宋体"/>
          <w:b/>
          <w:color w:val="FF0000"/>
          <w:szCs w:val="24"/>
        </w:rPr>
        <w:lastRenderedPageBreak/>
        <w:t xml:space="preserve">10.1016/j.reumae.2026.502173. </w:t>
      </w:r>
      <w:r w:rsidRPr="00DF18A4">
        <w:rPr>
          <w:rFonts w:ascii="宋体" w:eastAsia="宋体" w:hAnsi="宋体" w:cs="宋体"/>
          <w:b/>
          <w:color w:val="FF0000"/>
          <w:szCs w:val="24"/>
        </w:rPr>
        <w:t>Online ahead of print.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Latent tuberculosis in rheumatological patients on biologic therapy: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methodological considerations and primary care perspective.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Therán León JS(1), Díaz Cruz LC(2), Díaz Cruz GA(3).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(1)Médico Familiar, Universidad de Santander (UDES), Sub-investigador, SERVIMED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Clinical Research Center, Bucaramanga, Santander, Colombia. Electronic address: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jtheran554@unab.edu.co.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(2)Médico General, Universidad Industrial de Santander (UIS), Bucaramanga,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Santander, Colombia.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(3)Médico General, Universidad Autónoma de Bucaramanga (UNAB), Bucaramanga,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Santander, Colombia.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DOI: 10.1016/j.reumae.2026.502173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PMID: 42532799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DF18A4" w:rsidRDefault="00EF53A4" w:rsidP="00465EB7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15</w:t>
      </w:r>
      <w:r w:rsidR="00465EB7" w:rsidRPr="00DF18A4">
        <w:rPr>
          <w:rFonts w:ascii="宋体" w:eastAsia="宋体" w:hAnsi="宋体" w:cs="宋体"/>
          <w:b/>
          <w:color w:val="FF0000"/>
          <w:szCs w:val="24"/>
        </w:rPr>
        <w:t>. BMJ Open. 2026 Jul 30;16(7):e120434. doi: 10.1136/bmjopen-2026-120434.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Feasibility and acceptability of pooled sputum testing for tuberculosis: a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multicountry qualitative study of the Start4All project.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Iem V(1), Vo LNQ(2)(3), Codlin AJ(2)(3), Iwakun M(4), Kwanjo Banda C(5), Okelloh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DA(6), Mbuli C(7), Dosea AS(8), Santos VS(9), Chowdhury KIA(10), Garg T(11),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Creswell J(11), Ringwald B(12), Cubas Atienzar AI(12)(13), Byrne RL(12),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Wingfield T(12)(3)(14); Start4All investigators.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(1)Centre for Tuberculosis Research, Liverpool School of Tropical Medicine,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Liverpool, England, UK vibol.iem@lstmed.ac.uk.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(2)Friends for International TB Relief, Hanoi, Viet Nam.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(3)Department of Global Public Health, Karolinska Institute, Stockholm,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Stockholm County, Sweden.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(4)Zankli Research Centre, Bingham University, Abuja, Nigeria.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(5)Malawi-Liverpool-Wellcome Clinical Research Programme, Blantyre, Southern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Region, Malawi.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(6)Kenya Medical Research Institute, Centre for Global Health Research, Kisumu,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Kenya.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(7)Center for Health Promotion and Research, Bamenda, Cameroon.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(8)Pharmacy Program, Department of Health, State University of Feira de Santana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(UEFS), Feira de Santana, Bahia (BA), Brazil.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(9)Department of Medicine, Federal University of Sergipe, Lagarto, Brazil.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(10)Infectious Diseases Division, International Centre for Diarrhoeal Disease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Research, Dhaka, Bangladesh.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(11)Stop TB Partnership, Geneva, Switzerland.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(12)Centre for Tuberculosis Research, Liverpool School of Tropical Medicine,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Liverpool, England, UK.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(13)Centre for Drugs and Diagnostics, Liverpool School of Tropical Medicine,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Liverpool, England, UK.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(14)Tropical and Infectious Diseases Unit, Liverpool University Hospitals NHS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Foundation Trust, Liverpool, England, UK.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DF18A4">
        <w:rPr>
          <w:rFonts w:ascii="宋体" w:eastAsia="宋体" w:hAnsi="宋体" w:cs="宋体"/>
          <w:b/>
          <w:color w:val="000000" w:themeColor="text1"/>
          <w:szCs w:val="24"/>
        </w:rPr>
        <w:t>OBJECTIVES: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 Tuberculosis (TB) remains underdiagnosed in many high-burden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countries due to high costs and limited availability of rapid molecular tests.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Globally, only half of people with TB receive a molecular test as their initial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diagnostic test. Pooled testing combines sputum samples from multiple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individuals into a single molecular assay, offering cost savings by optimising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existing resources, particularly in resource-constrained health systems.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Although pooled sputum testing has now been recommended by the World Health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Organization in 2026, evidence on real-world feasibility and acceptability for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people with TB and healthcare providers remains limited. This study explored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multisectoral stakeholder perspectives on the feasibility and acceptability of </w:t>
      </w:r>
    </w:p>
    <w:p w:rsidR="00465EB7" w:rsidRPr="00DF18A4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DF18A4">
        <w:rPr>
          <w:rFonts w:ascii="宋体" w:eastAsia="宋体" w:hAnsi="宋体" w:cs="宋体"/>
          <w:color w:val="000000" w:themeColor="text1"/>
          <w:szCs w:val="24"/>
        </w:rPr>
        <w:t>pooled sputum testing for TB.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DF18A4">
        <w:rPr>
          <w:rFonts w:ascii="宋体" w:eastAsia="宋体" w:hAnsi="宋体" w:cs="宋体"/>
          <w:b/>
          <w:color w:val="000000" w:themeColor="text1"/>
          <w:szCs w:val="24"/>
        </w:rPr>
        <w:t>DESIGN:</w:t>
      </w:r>
      <w:r w:rsidRPr="00DF18A4">
        <w:rPr>
          <w:rFonts w:ascii="宋体" w:eastAsia="宋体" w:hAnsi="宋体" w:cs="宋体"/>
          <w:color w:val="000000" w:themeColor="text1"/>
          <w:szCs w:val="24"/>
        </w:rPr>
        <w:t xml:space="preserve"> 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Multicountry qualitative study using key informant interviews and focus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group discussions. Data were analysed using a framework approach guided by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established feasibility and acceptability models.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DF18A4">
        <w:rPr>
          <w:rFonts w:ascii="宋体" w:eastAsia="宋体" w:hAnsi="宋体" w:cs="宋体"/>
          <w:b/>
          <w:color w:val="000000" w:themeColor="text1"/>
          <w:szCs w:val="24"/>
        </w:rPr>
        <w:t>SETTING: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 Facility and community settings across seven high-TB-burden countries: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Bangladesh, Brazil, Cameroon, Kenya, Malawi, Nigeria, and Viet Nam.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PARTICIPANTS: Thirty-eight key informant interviews and 18 focus group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discussions were conducted with National TB Programme (NTP) representatives,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laboratory technicians, people with TB and international experts.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DF18A4">
        <w:rPr>
          <w:rFonts w:ascii="宋体" w:eastAsia="宋体" w:hAnsi="宋体" w:cs="宋体"/>
          <w:b/>
          <w:color w:val="000000" w:themeColor="text1"/>
          <w:szCs w:val="24"/>
        </w:rPr>
        <w:t xml:space="preserve">RESULTS: 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Pooled testing was considered feasible and acceptable in facility and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community settings with greater confidence in countries with prior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implementation experience. Feasibility depended on alignment with diagnostic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algorithms and laboratory workflows, biosafety, training and clear standard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operating procedures.Acceptability operated at two levels: early NTP engagement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with healthcare providers to secure professional buy-in and clear communication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between healthcare providers and people undergoing testing to support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understanding.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DF18A4">
        <w:rPr>
          <w:rFonts w:ascii="宋体" w:eastAsia="宋体" w:hAnsi="宋体" w:cs="宋体"/>
          <w:b/>
          <w:color w:val="000000" w:themeColor="text1"/>
          <w:szCs w:val="24"/>
        </w:rPr>
        <w:t>CONCLUSIONS: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 Pooled testing was considered feasible and acceptable in settings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with robust laboratory systems and routine practices. Readiness varied across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countries, with some suitable for rapid implementation and scale-up while others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required system strengthening. In settings perceived as having suitable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infrastructure and readiness, pooled testing was viewed as a pragmatic strategy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to optimise molecular TB testing.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 w:hint="eastAsia"/>
          <w:color w:val="000000" w:themeColor="text1"/>
          <w:szCs w:val="24"/>
        </w:rPr>
        <w:lastRenderedPageBreak/>
        <w:t>©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 Author(s) (or their employer(s)) 2026. Re-use permitted under CC BY. Published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by BMJ Group.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DOI: 10.1136/bmjopen-2026-120434</w:t>
      </w:r>
    </w:p>
    <w:p w:rsidR="00465EB7" w:rsidRPr="00465EB7" w:rsidRDefault="00465EB7" w:rsidP="00465EB7">
      <w:pPr>
        <w:rPr>
          <w:rFonts w:ascii="宋体" w:eastAsia="宋体" w:hAnsi="宋体" w:cs="宋体" w:hint="eastAsia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PMID:</w:t>
      </w:r>
      <w:r w:rsidR="00DF18A4">
        <w:rPr>
          <w:rFonts w:ascii="宋体" w:eastAsia="宋体" w:hAnsi="宋体" w:cs="宋体"/>
          <w:color w:val="000000" w:themeColor="text1"/>
          <w:szCs w:val="24"/>
        </w:rPr>
        <w:t xml:space="preserve"> 42532570 [Indexed for MEDLINE]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DF18A4" w:rsidRDefault="00EF53A4" w:rsidP="00465EB7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16</w:t>
      </w:r>
      <w:r w:rsidR="00465EB7" w:rsidRPr="00DF18A4">
        <w:rPr>
          <w:rFonts w:ascii="宋体" w:eastAsia="宋体" w:hAnsi="宋体" w:cs="宋体"/>
          <w:b/>
          <w:color w:val="FF0000"/>
          <w:szCs w:val="24"/>
        </w:rPr>
        <w:t xml:space="preserve">. Clin Microbiol Infect. 2026 Jul 30:S1198-743X(26)00403-9. doi: </w:t>
      </w:r>
    </w:p>
    <w:p w:rsidR="00465EB7" w:rsidRPr="00DF18A4" w:rsidRDefault="00465EB7" w:rsidP="00465EB7">
      <w:pPr>
        <w:rPr>
          <w:rFonts w:ascii="宋体" w:eastAsia="宋体" w:hAnsi="宋体" w:cs="宋体"/>
          <w:b/>
          <w:color w:val="FF0000"/>
          <w:szCs w:val="24"/>
        </w:rPr>
      </w:pPr>
      <w:r w:rsidRPr="00DF18A4">
        <w:rPr>
          <w:rFonts w:ascii="宋体" w:eastAsia="宋体" w:hAnsi="宋体" w:cs="宋体"/>
          <w:b/>
          <w:color w:val="FF0000"/>
          <w:szCs w:val="24"/>
        </w:rPr>
        <w:t>10.1016/j.cmi.2026.07.036. Online ahead of print.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How do I screen for tuberculosis and provide tuberculosis preventive treatment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in people with HIV?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Raccagni AR(1), Antonello RM(2), Pieruzzi M(3), Calcagno A(4), Giacomelli A(3),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Riccardi N(5), Nozza S(1).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(1)School of Medicine, Vita-Salute San Raffaele University, 20132 Milan, Italy;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Infectious Diseases Unit, IRCCS San Raffaele Scientific Institute, 20132 Milan,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Italy.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(2)Department of Experimental and Clinical Medicine, University of Florence,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50121 Florence, Italy.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(3)Department of Biomedical and Clinical Sciences, Università degli Studi di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Milano, 20122 Milan, Italy; Department of Infectious Diseases, ASST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Fatebenefratelli Sacco, Luigi Sacco Hospital, 20157 Milan, Italy.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(4)Department of Translational Medicine, University of Eastern Piedmont, 28100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Novara, Italy; SC Malattie Infettive, AOU "Maggiore della Carità", 28100 Novara,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Italy.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(5)TB and NTM Regional Reference Centre and Laboratory, ASST Grande Ospedale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Metropolitano Niguarda, 20159 Milan, Italy. Electronic address: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niccolo.riccardi@yahoo.it.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DF18A4">
        <w:rPr>
          <w:rFonts w:ascii="宋体" w:eastAsia="宋体" w:hAnsi="宋体" w:cs="宋体"/>
          <w:b/>
          <w:color w:val="000000" w:themeColor="text1"/>
          <w:szCs w:val="24"/>
        </w:rPr>
        <w:t xml:space="preserve">BACKGROUND: 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Tuberculosis infection (TBI) remains a major cause of preventable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morbidity and mortality in people with HIV (PWH). Compared with the general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population, PWH have a substantially higher risk of progression from TBI to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active tuberculosis (TB), especially in the setting of advanced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immunosuppression, delayed antiretroviral therapy (ART), social vulnerability,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and barriers to continuity of care. Early diagnosis and timely TB preventive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treatment (TPT) are therefore essential components of comprehensive HIV care.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DF18A4">
        <w:rPr>
          <w:rFonts w:ascii="宋体" w:eastAsia="宋体" w:hAnsi="宋体" w:cs="宋体"/>
          <w:b/>
          <w:color w:val="000000" w:themeColor="text1"/>
          <w:szCs w:val="24"/>
        </w:rPr>
        <w:t xml:space="preserve">OBJECTIVES: 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To summarize the current approach to the diagnosis and treatment of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TBI in PWH, with particular attention to screening strategies, exclusion of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active TB, selection of TPT regimens, drug-drug interactions (DDIs) with ART,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and follow-up.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DF18A4">
        <w:rPr>
          <w:rFonts w:ascii="宋体" w:eastAsia="宋体" w:hAnsi="宋体" w:cs="宋体"/>
          <w:b/>
          <w:color w:val="000000" w:themeColor="text1"/>
          <w:szCs w:val="24"/>
        </w:rPr>
        <w:t>SOURCES: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 This narrative review integrates current international HIV/TB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guidelines and recent key studies, together with a representative clinical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lastRenderedPageBreak/>
        <w:t>vignette illustrating common diagnostic and therapeutic challenges.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DF18A4">
        <w:rPr>
          <w:rFonts w:ascii="宋体" w:eastAsia="宋体" w:hAnsi="宋体" w:cs="宋体"/>
          <w:b/>
          <w:color w:val="000000" w:themeColor="text1"/>
          <w:szCs w:val="24"/>
        </w:rPr>
        <w:t xml:space="preserve">CONTENT: 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All PWH should be assessed for TB and TBI at HIV diagnosis. In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asymptomatic individuals, screening for TBI relies on tuberculin skin test or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interferon-gamma release assay, although both have reduced sensitivity in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advanced immunodeficiency. A positive test requires exclusion of active TB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through clinical assessment, chest imaging, and microbiological investigations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when indicated. Available TPT options include isoniazid- and rifamycin-based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regimens, whose choice should be individualized according to tolerability,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feasibility, and expected adherence. Special consideration is required for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interactions between rifamycin and ART, often necessitating antiretroviral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regimen adjustment and close virological monitoring. Follow-up should include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assessment of adherence, toxicity, liver function, and maintenance of HIV care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linkage.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DF18A4">
        <w:rPr>
          <w:rFonts w:ascii="宋体" w:eastAsia="宋体" w:hAnsi="宋体" w:cs="宋体"/>
          <w:b/>
          <w:color w:val="000000" w:themeColor="text1"/>
          <w:szCs w:val="24"/>
        </w:rPr>
        <w:t>IMPLICATIONS: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 Optimal management of TBI in PWH requires systematic screening,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prompt initiation of effective and individualized TPT, careful integration with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ART, and structured follow-up. Strengthening linkage to care and improving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access to shorter, safer preventive regimens are critical to reducing TB-related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morbidity and mortality in this high-risk population.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Copyright © 2026 European Society of Clinical Microbiology and Infectious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Diseases. Published by Elsevier Ltd. All rights reserved.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DOI: 10.1016/j.cmi.2026.07.036</w:t>
      </w:r>
    </w:p>
    <w:p w:rsidR="00465EB7" w:rsidRPr="00465EB7" w:rsidRDefault="00DF18A4" w:rsidP="00465EB7">
      <w:pPr>
        <w:rPr>
          <w:rFonts w:ascii="宋体" w:eastAsia="宋体" w:hAnsi="宋体" w:cs="宋体" w:hint="eastAsia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t>PMID: 42532268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DF18A4" w:rsidRDefault="00EF53A4" w:rsidP="00465EB7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17</w:t>
      </w:r>
      <w:r w:rsidR="00465EB7" w:rsidRPr="00DF18A4">
        <w:rPr>
          <w:rFonts w:ascii="宋体" w:eastAsia="宋体" w:hAnsi="宋体" w:cs="宋体"/>
          <w:b/>
          <w:color w:val="FF0000"/>
          <w:szCs w:val="24"/>
        </w:rPr>
        <w:t xml:space="preserve">. Am J Trop Med Hyg. 2026 Jul 30:tpmd250681. doi: 10.4269/ajtmh.25-0681. Online </w:t>
      </w:r>
    </w:p>
    <w:p w:rsidR="00465EB7" w:rsidRPr="00DF18A4" w:rsidRDefault="00465EB7" w:rsidP="00465EB7">
      <w:pPr>
        <w:rPr>
          <w:rFonts w:ascii="宋体" w:eastAsia="宋体" w:hAnsi="宋体" w:cs="宋体"/>
          <w:b/>
          <w:color w:val="FF0000"/>
          <w:szCs w:val="24"/>
        </w:rPr>
      </w:pPr>
      <w:r w:rsidRPr="00DF18A4">
        <w:rPr>
          <w:rFonts w:ascii="宋体" w:eastAsia="宋体" w:hAnsi="宋体" w:cs="宋体"/>
          <w:b/>
          <w:color w:val="FF0000"/>
          <w:szCs w:val="24"/>
        </w:rPr>
        <w:t>ahead of print.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Genomic Diversity of Mycobacterium tuberculosis Complex in Tahiti, French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Polynesia.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Badiane JK(1)(2)(3), Levy M(4), Beye M(5), Robinne S(5), Ndao M(3), Cortaredona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S(2)(6)(7), Grine G(1)(2), Drancourt M(1)(2).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(1)MEPHI, Aix-Marseille University, Marseille, France.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(2)IHU Méditerranée Infection, Marseille, France.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(3)Institut de Recherche en Santé, de Surveillance Épidémiologique et de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Formations (IRESSEF), Dakar, Sénégal.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(4)Centre Hospitalier de Polynésie Française, Papeete, French Polynesia.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(5)Assistance Publique-Hôpitaux de Marseille, Marseille, France.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(6)Aix-Marseille Université, IRD, SSA, MINES, Marseille, France.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(7)Aix Marseille Université, SSA, RITMES, Marseille, France.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Evolving genomic diversity of Mycobacterium tuberculosis complex pathogens is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poorly known in French Polynesia, a remote archipelago in the southern Pacific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Ocean. A total of 321 mycobacteria sampled from 321 patients presenting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pulmonary tuberculosis between 1998 and 2010 at the microbiology laboratory of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the French Polynesia Hospital Centre in Tahiti were whole genome sequenced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(WGS), disclosing three major M. tuberculosis sensu stricto sublineages: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L4.4.1.1 S-type, L4.1.1.3 X-Type, and L4.1.2.1 Haarlem. Furthermore, 20 isolates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were identified as nontuberculous mycobacteria, including Mycobacterium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fortuitum, which accounted for 65% of the identified nontuberculous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mycobacteria, as well as Mycobacterium paragordonae and Mycobacterium gordonae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identified with M. tuberculosis in two samples. Two further isolates were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potentially representative of novel species in the Mycobacterium and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Actinomadura genera. In total, 43 isolates exhibited in silico predicted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antibiotic resistance to first- and second-line antibiotics. Combined with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previously published data, the data reported here indicate a 12-year trend of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decreasing diversity among the M. tuberculosis population circulating in Tahiti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and the seemingly unsuccessful implantation of a recently imported of East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African-Indian sublineage (L1.2.1.2.1). These findings contrast with the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long-term persistence and predominance of the X-type family with L4.1.1.3; the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S-type family with L4.4.1.1 and L4.4.2; the Haarlem family with L4.1.2 and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L4.1.2.1, and the LAM family with L4.3.3, L4.3.2, and L4.3.4.2. These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observations suggest that in remote territories such as the French Polynesia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archipelago M. tuberculosis may rapidly adapt to local ecosystems.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DOI: 10.4269/ajtmh.25-0681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PMID: 42532030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DF18A4" w:rsidRDefault="00EF53A4" w:rsidP="00465EB7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18</w:t>
      </w:r>
      <w:r w:rsidR="00465EB7" w:rsidRPr="00DF18A4">
        <w:rPr>
          <w:rFonts w:ascii="宋体" w:eastAsia="宋体" w:hAnsi="宋体" w:cs="宋体"/>
          <w:b/>
          <w:color w:val="FF0000"/>
          <w:szCs w:val="24"/>
        </w:rPr>
        <w:t>. Otol Neurotol. 2026 Jul 30. doi: 10.1097/MAO.000</w:t>
      </w:r>
      <w:r w:rsidR="00DF18A4" w:rsidRPr="00DF18A4">
        <w:rPr>
          <w:rFonts w:ascii="宋体" w:eastAsia="宋体" w:hAnsi="宋体" w:cs="宋体"/>
          <w:b/>
          <w:color w:val="FF0000"/>
          <w:szCs w:val="24"/>
        </w:rPr>
        <w:t xml:space="preserve">0000000005026. Online ahead of </w:t>
      </w:r>
      <w:r w:rsidR="00465EB7" w:rsidRPr="00DF18A4">
        <w:rPr>
          <w:rFonts w:ascii="宋体" w:eastAsia="宋体" w:hAnsi="宋体" w:cs="宋体"/>
          <w:b/>
          <w:color w:val="FF0000"/>
          <w:szCs w:val="24"/>
        </w:rPr>
        <w:t>print.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Otopathology of Pediatric Acute Tuberculous Meningitis-Case Series.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Carasek N(1)(2)(3), Oliveira LAT(1)(2)(3), Zhu M(2), Dharmarajan A(2)(4), Bahmad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F Jr(3), Santos F(1)(2).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(1)Department of Otolaryngology-Head and Neck Surgery, Harvard Medical School.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(2)Otopathology Laboratory, Eaton-Peabody Laboratory, Massachusetts Eye and Ear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Infirmary, Boston, MA.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(3)Faculty of Health Sciences, University of Brasilia, Brasilia, DF, Brazil.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(4)Otopathology laboratory, Department of otolaryngology - Head and neck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surgery, University of Chicago.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Tuberculous meningitis (TBM) is a severe presentation of the Mycobacterium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tuberculosis that can cause sensorineural hearing loss (SNHL) similarly to other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etiologies of meningitis. The pathophysiology for this group remains unclear. We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report a series with 3 temporal bones of infants who died from TBM, showing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acute damage to the inner ear, such as fibrosis of the cochlea, organ of Corti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atrophy, neuronal loss and internal auditory canal with abundant pus cells,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predominantly mononuclear. The cochlear aqueduct, endolymphatic sac/duct and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Rosenthal's canal appear to be routes of dissemination from the subarachnoid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space to the inner ear.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Copyright © 2026, Otology &amp; Neurotology, Inc.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DOI: 10.1097/MAO.0000000000005026</w:t>
      </w:r>
    </w:p>
    <w:p w:rsidR="00465EB7" w:rsidRPr="00465EB7" w:rsidRDefault="00DF18A4" w:rsidP="00465EB7">
      <w:pPr>
        <w:rPr>
          <w:rFonts w:ascii="宋体" w:eastAsia="宋体" w:hAnsi="宋体" w:cs="宋体" w:hint="eastAsia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t>PMID: 42531484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DF18A4" w:rsidRDefault="00EF53A4" w:rsidP="00465EB7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19</w:t>
      </w:r>
      <w:r w:rsidR="00465EB7" w:rsidRPr="00DF18A4">
        <w:rPr>
          <w:rFonts w:ascii="宋体" w:eastAsia="宋体" w:hAnsi="宋体" w:cs="宋体"/>
          <w:b/>
          <w:color w:val="FF0000"/>
          <w:szCs w:val="24"/>
        </w:rPr>
        <w:t>. Pharmacogenomics. 2026 Jul 30:1-14. doi: 10.1080</w:t>
      </w:r>
      <w:r w:rsidR="00DF18A4" w:rsidRPr="00DF18A4">
        <w:rPr>
          <w:rFonts w:ascii="宋体" w:eastAsia="宋体" w:hAnsi="宋体" w:cs="宋体"/>
          <w:b/>
          <w:color w:val="FF0000"/>
          <w:szCs w:val="24"/>
        </w:rPr>
        <w:t xml:space="preserve">/14622416.2026.2710853. Online </w:t>
      </w:r>
      <w:r w:rsidR="00465EB7" w:rsidRPr="00DF18A4">
        <w:rPr>
          <w:rFonts w:ascii="宋体" w:eastAsia="宋体" w:hAnsi="宋体" w:cs="宋体"/>
          <w:b/>
          <w:color w:val="FF0000"/>
          <w:szCs w:val="24"/>
        </w:rPr>
        <w:t>ahead of print.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Impact of NAT2 acetylation phenotype on toxicity in tuberculosis therapy: a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systematic review and meta-analysis.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Dinegro S(1), Dal Molin S(1), Mariani I(1), Mosini G(1), Schiuma M(2), Torre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A(2), Riva A(2)(3), Gori A(2)(3), Clementi E(1)(4), Radice S(1), Cheli S(1).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(1)ICPS, Pharmacovigilance &amp; Clinical Research, Department of Biomedical and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Clinical Sciences, ASST Fatebenefratelli Sacco, Luigi Sacco Hospital, Università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degli Studi di Milano, Milan, Italy.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(2)Department of Infectious Diseases, ASST Fatebenefratelli Sacco, Luigi Sacco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Hospital, Milan, Italy.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(3)Department of Biomedical and Clinical Sciences "Luigi Sacco", University of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Milan, Milan, Italy.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(4)Scientific Institute IRCCS E. Medea, Bosisio Parini, Italy.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DF18A4">
        <w:rPr>
          <w:rFonts w:ascii="宋体" w:eastAsia="宋体" w:hAnsi="宋体" w:cs="宋体"/>
          <w:b/>
          <w:color w:val="000000" w:themeColor="text1"/>
          <w:szCs w:val="24"/>
        </w:rPr>
        <w:t>INTRODUCTION: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 Adverse drug reactions (ADRs) remain a major challenge in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tuberculosis treatment and frequently compromise therapeutic adherence and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outcomes. Hepatotoxicity represents the most clinically significant toxicity.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Genetic variability in N</w:t>
      </w:r>
      <w:r w:rsidRPr="00465EB7">
        <w:rPr>
          <w:rFonts w:ascii="MS Gothic" w:eastAsia="MS Gothic" w:hAnsi="MS Gothic" w:cs="MS Gothic" w:hint="eastAsia"/>
          <w:color w:val="000000" w:themeColor="text1"/>
          <w:szCs w:val="24"/>
        </w:rPr>
        <w:t>‑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acetyltransferase 2 (NAT2), the key enzyme involved in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isoniazid metabolism, has been associated with toxicity risk, although findings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across studies and populations remain heterogeneous.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DF18A4">
        <w:rPr>
          <w:rFonts w:ascii="宋体" w:eastAsia="宋体" w:hAnsi="宋体" w:cs="宋体"/>
          <w:b/>
          <w:color w:val="000000" w:themeColor="text1"/>
          <w:szCs w:val="24"/>
        </w:rPr>
        <w:t xml:space="preserve">METHODS: 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We conducted a systematic review and random-effects meta-analysis to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evaluate the association between NAT2 acetylation phenotype and ADRs during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tuberculosis treatment. Literature searches were performed across major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databases up to September 2025. Geographical variability was assessed by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region</w:t>
      </w:r>
      <w:r w:rsidRPr="00465EB7">
        <w:rPr>
          <w:rFonts w:ascii="MS Gothic" w:eastAsia="MS Gothic" w:hAnsi="MS Gothic" w:cs="MS Gothic" w:hint="eastAsia"/>
          <w:color w:val="000000" w:themeColor="text1"/>
          <w:szCs w:val="24"/>
        </w:rPr>
        <w:t>‑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based stratification, while potential methodological and clinical sources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lastRenderedPageBreak/>
        <w:t>of heterogeneity using meta</w:t>
      </w:r>
      <w:r w:rsidRPr="00465EB7">
        <w:rPr>
          <w:rFonts w:ascii="MS Gothic" w:eastAsia="MS Gothic" w:hAnsi="MS Gothic" w:cs="MS Gothic" w:hint="eastAsia"/>
          <w:color w:val="000000" w:themeColor="text1"/>
          <w:szCs w:val="24"/>
        </w:rPr>
        <w:t>‑</w:t>
      </w:r>
      <w:r w:rsidRPr="00465EB7">
        <w:rPr>
          <w:rFonts w:ascii="宋体" w:eastAsia="宋体" w:hAnsi="宋体" w:cs="宋体"/>
          <w:color w:val="000000" w:themeColor="text1"/>
          <w:szCs w:val="24"/>
        </w:rPr>
        <w:t>regression analyses.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DF18A4">
        <w:rPr>
          <w:rFonts w:ascii="宋体" w:eastAsia="宋体" w:hAnsi="宋体" w:cs="宋体"/>
          <w:b/>
          <w:color w:val="000000" w:themeColor="text1"/>
          <w:szCs w:val="24"/>
        </w:rPr>
        <w:t xml:space="preserve">RESULTS: 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Sixty-seven studies, including nearly 14 000 individuals from diverse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regions, were analyzed. Slow acetylators showed a significant increased risk of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anti</w:t>
      </w:r>
      <w:r w:rsidRPr="00465EB7">
        <w:rPr>
          <w:rFonts w:ascii="MS Gothic" w:eastAsia="MS Gothic" w:hAnsi="MS Gothic" w:cs="MS Gothic" w:hint="eastAsia"/>
          <w:color w:val="000000" w:themeColor="text1"/>
          <w:szCs w:val="24"/>
        </w:rPr>
        <w:t>‑</w:t>
      </w:r>
      <w:r w:rsidRPr="00465EB7">
        <w:rPr>
          <w:rFonts w:ascii="宋体" w:eastAsia="宋体" w:hAnsi="宋体" w:cs="宋体"/>
          <w:color w:val="000000" w:themeColor="text1"/>
          <w:szCs w:val="24"/>
        </w:rPr>
        <w:t>tuberculosis drug</w:t>
      </w:r>
      <w:r w:rsidRPr="00465EB7">
        <w:rPr>
          <w:rFonts w:ascii="MS Gothic" w:eastAsia="MS Gothic" w:hAnsi="MS Gothic" w:cs="MS Gothic" w:hint="eastAsia"/>
          <w:color w:val="000000" w:themeColor="text1"/>
          <w:szCs w:val="24"/>
        </w:rPr>
        <w:t>‑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induced hepatotoxicity (ATDH) compared with rapid or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intermediate acetylators (OR 3.14, 95% CI 2.64-3.74), with a consistent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direction of effect across populations despite moderate heterogeneity.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Association with other ADRs was more modest (OR 1.65, 95% CI 1.01-2.67).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Meta-regression identified age and study size as heterogeneity contributors.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Sensitivity analyses confirmed the robustness of the findings.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DF18A4">
        <w:rPr>
          <w:rFonts w:ascii="宋体" w:eastAsia="宋体" w:hAnsi="宋体" w:cs="宋体"/>
          <w:b/>
          <w:color w:val="000000" w:themeColor="text1"/>
          <w:szCs w:val="24"/>
        </w:rPr>
        <w:t xml:space="preserve">CONCLUSION: 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NAT2 slow acetylation phenotype is a robust determinant of ATDH risk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and supports phenotype</w:t>
      </w:r>
      <w:r w:rsidRPr="00465EB7">
        <w:rPr>
          <w:rFonts w:ascii="MS Gothic" w:eastAsia="MS Gothic" w:hAnsi="MS Gothic" w:cs="MS Gothic" w:hint="eastAsia"/>
          <w:color w:val="000000" w:themeColor="text1"/>
          <w:szCs w:val="24"/>
        </w:rPr>
        <w:t>‑</w:t>
      </w:r>
      <w:r w:rsidRPr="00465EB7">
        <w:rPr>
          <w:rFonts w:ascii="宋体" w:eastAsia="宋体" w:hAnsi="宋体" w:cs="宋体"/>
          <w:color w:val="000000" w:themeColor="text1"/>
          <w:szCs w:val="24"/>
        </w:rPr>
        <w:t>guided precision therapeutic strategies.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PROTOCOL REGISTRATION: PROSPERO registration number CRD420261297224.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DOI: 10.1080/14622416.2026.2710853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PMID: 42531284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5240E6" w:rsidRDefault="00465EB7" w:rsidP="00465EB7">
      <w:pPr>
        <w:rPr>
          <w:rFonts w:ascii="宋体" w:eastAsia="宋体" w:hAnsi="宋体" w:cs="宋体"/>
          <w:b/>
          <w:color w:val="FF0000"/>
          <w:szCs w:val="24"/>
        </w:rPr>
      </w:pPr>
      <w:r w:rsidRPr="005240E6">
        <w:rPr>
          <w:rFonts w:ascii="宋体" w:eastAsia="宋体" w:hAnsi="宋体" w:cs="宋体"/>
          <w:b/>
          <w:color w:val="FF0000"/>
          <w:szCs w:val="24"/>
        </w:rPr>
        <w:t>2</w:t>
      </w:r>
      <w:r w:rsidR="00EF53A4">
        <w:rPr>
          <w:rFonts w:ascii="宋体" w:eastAsia="宋体" w:hAnsi="宋体" w:cs="宋体"/>
          <w:b/>
          <w:color w:val="FF0000"/>
          <w:szCs w:val="24"/>
        </w:rPr>
        <w:t>0</w:t>
      </w:r>
      <w:r w:rsidRPr="005240E6">
        <w:rPr>
          <w:rFonts w:ascii="宋体" w:eastAsia="宋体" w:hAnsi="宋体" w:cs="宋体"/>
          <w:b/>
          <w:color w:val="FF0000"/>
          <w:szCs w:val="24"/>
        </w:rPr>
        <w:t xml:space="preserve">. Trans R Soc Trop Med Hyg. 2026 Jul 30:trag088. doi: 10.1093/trstmh/trag088. </w:t>
      </w:r>
    </w:p>
    <w:p w:rsidR="00465EB7" w:rsidRPr="005240E6" w:rsidRDefault="00465EB7" w:rsidP="00465EB7">
      <w:pPr>
        <w:rPr>
          <w:rFonts w:ascii="宋体" w:eastAsia="宋体" w:hAnsi="宋体" w:cs="宋体"/>
          <w:b/>
          <w:color w:val="FF0000"/>
          <w:szCs w:val="24"/>
        </w:rPr>
      </w:pPr>
      <w:r w:rsidRPr="005240E6">
        <w:rPr>
          <w:rFonts w:ascii="宋体" w:eastAsia="宋体" w:hAnsi="宋体" w:cs="宋体"/>
          <w:b/>
          <w:color w:val="FF0000"/>
          <w:szCs w:val="24"/>
        </w:rPr>
        <w:t>Online ahead of print.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Staying ahead of the curve: a decade of a sustainable public-private synergy for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TB elimination in Haryana, India.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Datta B(1), Story A(2), Goyal P(1), Prakash AK(1), Ford D(3), Tripathy JP(4)(5),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Rogers E(6), Raju R(7), Sehl R(8), Kapoor S(9), Vishwakarma S(10), Yadav T(11),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Punia JS(12), Sharma K(13), Jaiswal A(1), Hayward A(14), Guleria R(1), Trehan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N(15).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(1)Department of Respiratory and Sleep Medicine, Medanta - The Medicity, Gurgaon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122001, Haryana, India.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(2)Find and Treat, University College London, London NW1 2PG, UK.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(3)Department of Respiratory Medicine, Scarborough General Hospital, Scarborough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YO12 6QL, UK.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(4)Department of Community Medicine, All India Institute of Medical Sciences,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Nagpur 441108, Maharashtra, India.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(5)Department of Public Health and Community Medicine, Tufts University School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of Medicine, Boston, MA 02111, USA.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(6)Institute for Global Health, University College London, London WC1N 1EH, UK.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(7)State Tuberculosis Office, Panchkula 134109, Haryana, India.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(8)Civil Hospital, Ambala 134003, Haryana, India.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(9)District Tuberculosis Office, Karnal 132001, Haryana, India.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(10)District Tuberculosis Office, Bhiwani 127021, Haryana, India.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(11)District Tuberculosis Office, Sonipat 131001, Haryana, India.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(12)Retired Civil Surgeon, Civil Hospital, Sonipat 131001, Haryana, India.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lastRenderedPageBreak/>
        <w:t>(13)District Tuberculosis Office, Gurgaon 122001, Haryana, India.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(14)Institute of Epidemiology and Health Care, University College London, London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WC1E 7HB, UK.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(15)Department of Cardiothoracic and Vascular Surgery, Medanta - The Medicity,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Gurgaon 122001, Haryana, India.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Achieving the goal of tuberculosis (TB) elimination in India requires innovative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approaches. The TB-Free Haryana Mission is a decade-long public-private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partnership (PPP) between the government of Haryana state and Medanta - The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Medicity, a tertiary corporate hospital designed to strengthen TB case detection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and care, particularly among underserved populations. Launched in 2014 as a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pilot in Rewari district, the initiative scaled statewide by 2019 using a mobile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diagnostic model that integrated digital chest X-ray screening, sputum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microscopy and rapid molecular testing. Over time, point-of-care molecular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diagnostics and AI-assisted chest X-ray interpretation were incorporated to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enable same-day diagnosis and treatment initiation. Over 10 years, the Mission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performed &gt;62 000 chest X-rays, achieving an overall high diagnostic yield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(5.3%) and extending access to quality diagnostics in remote rural settings. The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approach improved detection of smear-negative TB, reduced delays between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diagnosis and treatment and remained operationally effective even during the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COVID-19 pandemic. Long-term sustainability was supported through shared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funding, continuous technological upgrades, strong monitoring systems, community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engagement and alignment with national TB policies. This experience demonstrates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that a technology-enabled, domestically funded PPP model can effectively bridge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diagnostic gaps and is scalable for replication to accelerate TB elimination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efforts in India.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 The Author(s) 2026. Published by Oxford University Press on behalf of Royal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Society of Tropical Medicine and Hygiene. All rights reserved. For commercial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re-use, please contact reprints@oup.com for reprints and translation rights for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reprints. All other permissions can be obtained through our RightsLink service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via the Permissions link on the article page on our site-for further information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please contact journals.permissions@oup.com.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DOI: 10.1093/trstmh/trag088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PMID: 42529833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5240E6" w:rsidRDefault="00465EB7" w:rsidP="00465EB7">
      <w:pPr>
        <w:rPr>
          <w:rFonts w:ascii="宋体" w:eastAsia="宋体" w:hAnsi="宋体" w:cs="宋体"/>
          <w:b/>
          <w:color w:val="FF0000"/>
          <w:szCs w:val="24"/>
        </w:rPr>
      </w:pPr>
      <w:r w:rsidRPr="005240E6">
        <w:rPr>
          <w:rFonts w:ascii="宋体" w:eastAsia="宋体" w:hAnsi="宋体" w:cs="宋体"/>
          <w:b/>
          <w:color w:val="FF0000"/>
          <w:szCs w:val="24"/>
        </w:rPr>
        <w:t>2</w:t>
      </w:r>
      <w:r w:rsidR="00EF53A4">
        <w:rPr>
          <w:rFonts w:ascii="宋体" w:eastAsia="宋体" w:hAnsi="宋体" w:cs="宋体"/>
          <w:b/>
          <w:color w:val="FF0000"/>
          <w:szCs w:val="24"/>
        </w:rPr>
        <w:t>1</w:t>
      </w:r>
      <w:r w:rsidRPr="005240E6">
        <w:rPr>
          <w:rFonts w:ascii="宋体" w:eastAsia="宋体" w:hAnsi="宋体" w:cs="宋体"/>
          <w:b/>
          <w:color w:val="FF0000"/>
          <w:szCs w:val="24"/>
        </w:rPr>
        <w:t xml:space="preserve">. Open Forum Infect Dis. 2026 Jul 29;13(7):ofag445. doi: 10.1093/ofid/ofag445. </w:t>
      </w:r>
    </w:p>
    <w:p w:rsidR="00465EB7" w:rsidRPr="005240E6" w:rsidRDefault="00465EB7" w:rsidP="00465EB7">
      <w:pPr>
        <w:rPr>
          <w:rFonts w:ascii="宋体" w:eastAsia="宋体" w:hAnsi="宋体" w:cs="宋体"/>
          <w:b/>
          <w:color w:val="FF0000"/>
          <w:szCs w:val="24"/>
        </w:rPr>
      </w:pPr>
      <w:r w:rsidRPr="005240E6">
        <w:rPr>
          <w:rFonts w:ascii="宋体" w:eastAsia="宋体" w:hAnsi="宋体" w:cs="宋体"/>
          <w:b/>
          <w:color w:val="FF0000"/>
          <w:szCs w:val="24"/>
        </w:rPr>
        <w:t>eCollection 2026 Jul.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Cerebrospinal Fluid Concentrations of Bedaquiline, Pretomanid, and Linezolid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During Curative Treatment of Fluoroquinolone-Resistant Pre-Extensively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Drug-Resistant Tuberculous Meningitis.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Tramontana AR(1), Burke A(2), Globan M(3), McWhinney B(4), Bloch AE(1), Smith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BJ(1), Denholm JT(5), Wright CJ(1), Molton JS(1).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(1)Department of Infectious Diseases, Western Health, Footscray, Victoria,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Australia.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(2)Department of Infectious Diseases, The Prince Charles Hospital, Chermside,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Queensland, Australia.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(3)Victorian Infectious Diseases Reference Laboratory, Melbourne, The Peter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Doherty Institute for Infection and Immunity, Melbourne, Victoria, Australia.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(4)Analytical Chemical Unit, Central Laboratory, Health Support Queensland,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Pathology Queensland, Herston, Queensland, Australia.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(5)The Victorian Tuberculosis Program, Melbourne Health, Melbourne, Australia.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5240E6">
        <w:rPr>
          <w:rFonts w:ascii="宋体" w:eastAsia="宋体" w:hAnsi="宋体" w:cs="宋体"/>
          <w:b/>
          <w:color w:val="000000" w:themeColor="text1"/>
          <w:szCs w:val="24"/>
        </w:rPr>
        <w:t xml:space="preserve">BACKGROUND: 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Bedaquiline, pretomanid, and linezolid (BPaL) is a 6-month regimen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that has revolutionized treatment of multidrug-resistant (MDR) tuberculosis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(TB). However, there is limited evidence of using BPaL to treat MDR tuberculous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meningitis (TBM), a devastating illness that has high risk of mortality and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permanent disability.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5240E6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 A patient with fluoroquinolone-resistant pre-extensively drug-resistant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(pre-XDR) TBM was cured with a 10-month regimen based on BPaL with clofazimine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and cycloserine. Total concentrations of bedaquiline, pretomanid, and linezolid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were measured in plasma and cerebrospinal fluid (CSF) via ultraperformance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liquid chromatography. Unbound concentrations were estimated from plasma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concentrations and CSF concentrations normalized to plasma protein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concentrations using the Winter-Tozer formula. AUC24 (24-hour area under the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curve) was calculated using the trapezoidal method.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5240E6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 The CSF:plasma unbound AUC24 was 1.48 and 0.99 for pretomanid and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linezolid, respectively. Pharmacokinetic/pharmacodynamic targets were achieved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for pretomanid with CSF concentration above the critical concentration of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0.5</w:t>
      </w:r>
      <w:r w:rsidRPr="00465EB7">
        <w:rPr>
          <w:rFonts w:ascii="MS Gothic" w:eastAsia="MS Gothic" w:hAnsi="MS Gothic" w:cs="MS Gothic" w:hint="eastAsia"/>
          <w:color w:val="000000" w:themeColor="text1"/>
          <w:szCs w:val="24"/>
        </w:rPr>
        <w:t> 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mg/L throughout most of the dosing interval and linezolid AUC24/minimum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inhibitory concentration (MIC) of 171 for an MIC of 0.5</w:t>
      </w:r>
      <w:r w:rsidRPr="00465EB7">
        <w:rPr>
          <w:rFonts w:ascii="MS Gothic" w:eastAsia="MS Gothic" w:hAnsi="MS Gothic" w:cs="MS Gothic" w:hint="eastAsia"/>
          <w:color w:val="000000" w:themeColor="text1"/>
          <w:szCs w:val="24"/>
        </w:rPr>
        <w:t> 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mg/L. However, CSF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concentrations of pretomanid and linezolid may be below target for strains with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MICs &gt;0.5</w:t>
      </w:r>
      <w:r w:rsidRPr="00465EB7">
        <w:rPr>
          <w:rFonts w:ascii="MS Gothic" w:eastAsia="MS Gothic" w:hAnsi="MS Gothic" w:cs="MS Gothic" w:hint="eastAsia"/>
          <w:color w:val="000000" w:themeColor="text1"/>
          <w:szCs w:val="24"/>
        </w:rPr>
        <w:t> 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mg/L. Estimated unbound peak concentrations in CSF in week 21 were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comparable to plasma (0.0034 mg/L and 0.0032</w:t>
      </w:r>
      <w:r w:rsidRPr="00465EB7">
        <w:rPr>
          <w:rFonts w:ascii="MS Gothic" w:eastAsia="MS Gothic" w:hAnsi="MS Gothic" w:cs="MS Gothic" w:hint="eastAsia"/>
          <w:color w:val="000000" w:themeColor="text1"/>
          <w:szCs w:val="24"/>
        </w:rPr>
        <w:t> 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mg/L, respectively), suggesting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that therapeutic central nervous system concentrations of bedaquiline were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achieved.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5240E6">
        <w:rPr>
          <w:rFonts w:ascii="宋体" w:eastAsia="宋体" w:hAnsi="宋体" w:cs="宋体"/>
          <w:b/>
          <w:color w:val="000000" w:themeColor="text1"/>
          <w:szCs w:val="24"/>
        </w:rPr>
        <w:t>CONCLUSIONS: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 Fluoroquinolone-resistant pre-XDR TBM was cured with 10 months of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treatment based on BPaL with clofazimine and cycloserine. BPaL achieved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therapeutic concentrations in CSF for most TB strains. Further research is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required into optimal treatment and dosing of drug-resistant TBM.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 The Author(s) 2026. Published by Oxford University Press on behalf of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Infectious Diseases Society of America.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DOI: 10.1093/ofid/ofag445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PMCID: PMC13416743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PMID: 42529184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5240E6" w:rsidRDefault="00465EB7" w:rsidP="00465EB7">
      <w:pPr>
        <w:rPr>
          <w:rFonts w:ascii="宋体" w:eastAsia="宋体" w:hAnsi="宋体" w:cs="宋体"/>
          <w:b/>
          <w:color w:val="FF0000"/>
          <w:szCs w:val="24"/>
        </w:rPr>
      </w:pPr>
      <w:r w:rsidRPr="005240E6">
        <w:rPr>
          <w:rFonts w:ascii="宋体" w:eastAsia="宋体" w:hAnsi="宋体" w:cs="宋体"/>
          <w:b/>
          <w:color w:val="FF0000"/>
          <w:szCs w:val="24"/>
        </w:rPr>
        <w:t>2</w:t>
      </w:r>
      <w:r w:rsidR="00EF53A4">
        <w:rPr>
          <w:rFonts w:ascii="宋体" w:eastAsia="宋体" w:hAnsi="宋体" w:cs="宋体"/>
          <w:b/>
          <w:color w:val="FF0000"/>
          <w:szCs w:val="24"/>
        </w:rPr>
        <w:t>2</w:t>
      </w:r>
      <w:r w:rsidRPr="005240E6">
        <w:rPr>
          <w:rFonts w:ascii="宋体" w:eastAsia="宋体" w:hAnsi="宋体" w:cs="宋体"/>
          <w:b/>
          <w:color w:val="FF0000"/>
          <w:szCs w:val="24"/>
        </w:rPr>
        <w:t>. Cureus. 2026 Jul 28;18(7):e113542. doi: 10.7759/c</w:t>
      </w:r>
      <w:r w:rsidR="005240E6" w:rsidRPr="005240E6">
        <w:rPr>
          <w:rFonts w:ascii="宋体" w:eastAsia="宋体" w:hAnsi="宋体" w:cs="宋体"/>
          <w:b/>
          <w:color w:val="FF0000"/>
          <w:szCs w:val="24"/>
        </w:rPr>
        <w:t xml:space="preserve">ureus.113542. eCollection 2026 </w:t>
      </w:r>
      <w:r w:rsidRPr="005240E6">
        <w:rPr>
          <w:rFonts w:ascii="宋体" w:eastAsia="宋体" w:hAnsi="宋体" w:cs="宋体"/>
          <w:b/>
          <w:color w:val="FF0000"/>
          <w:szCs w:val="24"/>
        </w:rPr>
        <w:t>Jul.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Erythema Induratum of Bazin Associated With a Negative Tuberculin Test: A Case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Report.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Gonzalez Quiroz V(1), Arroyo Jaramillo SE(2), Salazar Gonzalez GLA(1), Garay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Hernandez JA(1), Vallejo Rico CF(1), Corona Caloca LE(1), Ibarra Moncivais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AM(1).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(1)Internal Medicine, Mexican Social Security Institute, Durango, MEX.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(2)Dermatology, Mexican Social Security Institute, Durango, MEX.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Bazin's indurated erythema is a chronic lobular panniculitis associated with a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hypersensitivity reaction to Mycobacterium tuberculosis. It is characterized by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recurrent painful subcutaneous nodules and ulcerative lesions on the lower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extremities. We present a 39-year-old male with a one-year history of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unintentional weight loss and intermittent evening fever. During this period,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the patient developed progressively evolving erythematous cutaneous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lesions located on the lower extremities, along with multiple painful, indurated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subcutaneous nodules exhibiting a chronic recurrent course with occasional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ulceration. Histopathological evaluation of a skin biopsy revealed granulomatous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lobular panniculitis consistent with erythema induratum of Bazin. It is a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rare tuberculid presentation, representing a cutaneous manifestation of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hypersensitivity to tuberculosis, and is more frequently observed in women. It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presents a diagnostic challenge due to its similarity to other inflammatory and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infectious dermatoses. The diagnosis is clinical and histopathological, with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findings typically demonstrating granulomatous lobular panniculitis and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vasculitis. This case highlights the early recognition in tuberculosis-endemic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regions, as early initiation of antituberculosis treatment is associated with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significant clinical improvement.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Copyright © 2026, Gonzalez Quiroz et al.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DOI: 10.7759/cureus.113542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PMCID: PMC13415912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PMID: 42529024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5240E6" w:rsidRDefault="00EF53A4" w:rsidP="00465EB7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lastRenderedPageBreak/>
        <w:t>23</w:t>
      </w:r>
      <w:r w:rsidR="00465EB7" w:rsidRPr="005240E6">
        <w:rPr>
          <w:rFonts w:ascii="宋体" w:eastAsia="宋体" w:hAnsi="宋体" w:cs="宋体"/>
          <w:b/>
          <w:color w:val="FF0000"/>
          <w:szCs w:val="24"/>
        </w:rPr>
        <w:t>. J Mass Spectrom. 2026 Aug;61(8):e70093. doi: 10.1002/jms.70093.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Analytical Method Development and Validation for Clofazimine in Human Plasma and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Application of LC-MS/MS Based Methods for Clofazimine and Bedaquiline in Indian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MDR-TB Patients Stratified by HIV Coinfection.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Lokhande RV(1)(2), Arora PR(1), Bhagure GR(2), Joubert A(3), Udwadia ZF(1),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Rodrigues C(1), Gupta A(4)(5)(6), Mave V(7), Raichur P(7), Gaikwad S(7), Khan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R(8), Pradeep A(8), Wiesner L(3), Tornheim JA(4)(5)(6), Horsburgh CR(9), </w:t>
      </w:r>
    </w:p>
    <w:p w:rsidR="00465EB7" w:rsidRPr="00465EB7" w:rsidRDefault="00465EB7" w:rsidP="00465EB7">
      <w:pPr>
        <w:rPr>
          <w:rFonts w:ascii="宋体" w:eastAsia="宋体" w:hAnsi="宋体" w:cs="宋体" w:hint="eastAsia"/>
          <w:color w:val="000000" w:themeColor="text1"/>
          <w:szCs w:val="24"/>
        </w:rPr>
      </w:pPr>
      <w:r w:rsidRPr="00465EB7">
        <w:rPr>
          <w:rFonts w:ascii="宋体" w:eastAsia="宋体" w:hAnsi="宋体" w:cs="宋体" w:hint="eastAsia"/>
          <w:color w:val="000000" w:themeColor="text1"/>
          <w:szCs w:val="24"/>
        </w:rPr>
        <w:t xml:space="preserve">Ashavaid TF(1); MDR‐TB MUKT and RePORT India Team, Indo‐South Africa Study Team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and PREEMPT Study Teams.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(1)Research Laboratories, P.D. Hinduja Hospital and Medical Research Centre,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Mumbai, India.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(2)Department of Chemistry, Satish Pradhan Dnyanasadhana College, Thane, India.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(3)Division of Clinical Pharmacology, Department of Medicine, University of Cape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Town, Cape Town, South Africa.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(4)Center for Infectious Diseases in India, Division of Infectious Diseases,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Johns Hopkins University School of Medicine, Baltimore, Maryland, USA.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(5)Center for Tuberculosis Research, Division of Infectious Diseases, Johns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Hopkins University School of Medicine, Baltimore, Maryland, USA.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(6)Bloomberg School of Public Health, Johns Hopkins University School of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Medicine, Baltimore, Maryland, USA.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(7)Center for Infectious Diseases in India, Johns Hopkins India, Pune, India.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(8)YR Gaitonde Center for AIDS Research and Education, Chennai, India.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(9)Department of Global Health, Boston University School of Public Health,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Boston, Massachusetts, USA.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Multidrug-resistant tuberculosis (MDR-TB) remains a major cause of morbidity and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mortality worldwide, with people living with HIV experiencing persistently poor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treatment outcomes. Clofazimine and bedaquiline are cornerstone drugs in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contemporary all-oral MDR-TB regimens, yet their complex pharmacokinetics and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substantial interindividual variability complicate regimen optimisation,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particularly in vulnerable populations. Robust plasma-based drug quantification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is essential to characterise exposure-response relationships and inform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individualised therapy. We developed and validated a rapid, sensitive and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specific liquid chromatography-tandem mass spectrometry assay for quantifying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these drugs in human plasma. The methods were successfully applied on plasma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samples from study participants with MDR-TB with or without HIV coinfection who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received clofazimine and bedaquiline as part of MDR-TB therapy assessing the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Cmax, Tmax and AUC in both groups. The method addresses key analytical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challenges posed by clofazimine's extreme lipophilicity and reliably quantifies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concentrations across a broad, clinically relevant range, including potentially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lastRenderedPageBreak/>
        <w:t>toxic exposures. Linearity was obtained between 0.0313 to 4.0</w:t>
      </w:r>
      <w:r w:rsidRPr="00465EB7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mg/L, and the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method met bioanalytical method validation criteria along with interlab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comparison with a reference laboratory, all within acceptable limits. We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observed significantly lower Cmax concentrations of both drugs among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HIV-infected participants compared to HIV-uninfected participants (p</w:t>
      </w:r>
      <w:r w:rsidRPr="00465EB7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465EB7">
        <w:rPr>
          <w:rFonts w:ascii="宋体" w:eastAsia="宋体" w:hAnsi="宋体" w:cs="宋体"/>
          <w:color w:val="000000" w:themeColor="text1"/>
          <w:szCs w:val="24"/>
        </w:rPr>
        <w:t>=</w:t>
      </w:r>
      <w:r w:rsidRPr="00465EB7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0.011 for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clofazimine and p</w:t>
      </w:r>
      <w:r w:rsidRPr="00465EB7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465EB7">
        <w:rPr>
          <w:rFonts w:ascii="宋体" w:eastAsia="宋体" w:hAnsi="宋体" w:cs="宋体"/>
          <w:color w:val="000000" w:themeColor="text1"/>
          <w:szCs w:val="24"/>
        </w:rPr>
        <w:t>=</w:t>
      </w:r>
      <w:r w:rsidRPr="00465EB7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0.02 for bedaquiline), highlighting the need for therapeutic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drug monitoring in this vulnerable group. This work provides a robust analytical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foundation for pharmacokinetic, therapeutic drug monitoring and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exposure-response studies of key MDR-TB drugs and supports efforts to optimise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treatment outcomes, especially among people living with HIV.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 2026 John Wiley &amp; Sons Ltd.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DOI: 10.1002/jms.70093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PMCID: PMC13420763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PMID: 42528125 [Indexed for MEDLINE]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5240E6" w:rsidRDefault="00EF53A4" w:rsidP="00465EB7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24</w:t>
      </w:r>
      <w:r w:rsidR="00465EB7" w:rsidRPr="005240E6">
        <w:rPr>
          <w:rFonts w:ascii="宋体" w:eastAsia="宋体" w:hAnsi="宋体" w:cs="宋体"/>
          <w:b/>
          <w:color w:val="FF0000"/>
          <w:szCs w:val="24"/>
        </w:rPr>
        <w:t xml:space="preserve">. Pediatr Infect Dis J. 2026 Jul 30. doi: 10.1097/INF.0000000000005348. Online </w:t>
      </w:r>
    </w:p>
    <w:p w:rsidR="00465EB7" w:rsidRPr="005240E6" w:rsidRDefault="00465EB7" w:rsidP="00465EB7">
      <w:pPr>
        <w:rPr>
          <w:rFonts w:ascii="宋体" w:eastAsia="宋体" w:hAnsi="宋体" w:cs="宋体"/>
          <w:b/>
          <w:color w:val="FF0000"/>
          <w:szCs w:val="24"/>
        </w:rPr>
      </w:pPr>
      <w:r w:rsidRPr="005240E6">
        <w:rPr>
          <w:rFonts w:ascii="宋体" w:eastAsia="宋体" w:hAnsi="宋体" w:cs="宋体"/>
          <w:b/>
          <w:color w:val="FF0000"/>
          <w:szCs w:val="24"/>
        </w:rPr>
        <w:t>ahead of print.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Successful Use of Infliximab and a Shortened Antibiotic Regimen in Pediatric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Multidrug-resistant Tuberculous Meningitis With Paradoxical Reactions.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Toro BM(1)(2), Dias Curado A(2)(3), Proença Santos T(2)(4), Prata F(3), Marques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JG(3).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(1)From the Department of Pediatrics, Hospital Santa Maria, Unidade Local de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Saúde de Santa Maria, Lisbon Academic Medical Center (CAML), Lisbon, Portugal.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(2)Faculdade de Medicina, Universidade de Lisboa, Lisbon Academic Medical Center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(CAML), Lisbon, Portugal.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(3)Infectious Diseases and Immunodeficiencies Unit, Department of Pediatrics,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Hospital Santa Maria, Unidade Local de Saúde de Santa Maria, Lisbon Academic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Medical Center (CAML), Lisbon, Portugal.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(4)Pediatric Neurology Unit, Department of Pediatrics, Hospital Santa Maria,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Unidade Local de Saúde de Santa Maria, Lisbon Academic Medical Center (CAML),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Lisbon, Portugal.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Multidrug-resistant tuberculous meningitis is the most severe form of childhood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tuberculosis and is usually treated for 18-24 months. We describe a pediatric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case successfully managed with a 12-month regimen, shortened due to severe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neuropathic toxicity. Infliximab controlled steroid-dependent paradoxical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reactions. This case supports shorter, all-oral regimens incorporating newer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agents in selected patients.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Copyright © 2026 Wolters Kluwer Health, LLC. All rights reserved.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DOI: 10.1097/INF.0000000000005348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PMID: 42527969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5240E6" w:rsidRDefault="00EF53A4" w:rsidP="00465EB7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25</w:t>
      </w:r>
      <w:r w:rsidR="00465EB7" w:rsidRPr="005240E6">
        <w:rPr>
          <w:rFonts w:ascii="宋体" w:eastAsia="宋体" w:hAnsi="宋体" w:cs="宋体"/>
          <w:b/>
          <w:color w:val="FF0000"/>
          <w:szCs w:val="24"/>
        </w:rPr>
        <w:t>. Trop Med Int Health. 2026 Jul 29. doi: 10.1111/tmi.70210. Online ahead of print.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Implementability of Point-of-Care Ultrasound for Paediatric Tuberculosis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Diagnosis in Resource-Constrained Settings: Experiences and Perspectives From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Uganda.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van den Brink J(1), Humblet M(1), Nasinghe E(2)(3), Kisitu GP(3)(4), Tenywa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E(5), Song R(6), Engel N(7), Basile FW(6), Bijker EM(1)(6).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(1)Department of Paediatrics, Maastricht University Medical Centre, MosaKids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Children's Hospital, Maastricht, the Netherlands.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(2)Department of Immunology and Molecular Biology, College of Health Sciences,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Makerere University, Kampala, Uganda.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(3)Integrated Biorepository of the H3Africa Uganda, Kampala, Uganda.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(4)Baylor College of Medicine Children's Foundation-Uganda, Kampala, Uganda.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(5)Department of Paediatrics and Child Health, Jinja Regional Referral Hospital,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Jinja, Uganda.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(6)Oxford Vaccine Group, Department of Paediatrics, University of Oxford,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Oxford, UK.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(7)Athena Institute, Faculty of Science, Vrije Universiteit Amsterdam,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Amsterdam, the Netherlands.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5240E6">
        <w:rPr>
          <w:rFonts w:ascii="宋体" w:eastAsia="宋体" w:hAnsi="宋体" w:cs="宋体"/>
          <w:b/>
          <w:color w:val="000000" w:themeColor="text1"/>
          <w:szCs w:val="24"/>
        </w:rPr>
        <w:t>INTRODUCTION: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 Childhood tuberculosis (TB) remains a significant global health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challenge, with a substantial number of cases going undiagnosed, particularly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among children under five. Early diagnosis and intervention are crucial to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reduce TB-associated morbidity and mortality. Point-of-Care Ultrasound (POCUS)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represents a promising technology that could enhance TB diagnosis, especially in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resource-constrained settings. This qualitative study assessed the acceptability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and feasibility of POCUS implementation in the TB diagnostic evaluation in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children under 5</w:t>
      </w:r>
      <w:r w:rsidRPr="00465EB7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years of age in Uganda, by exploring the perspectives and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experiences of local healthcare professionals.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5240E6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 Semi-structured interviews were conducted with clinicians at two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different sites and stakeholders involved in paediatric TB policy and programmes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in Uganda. Interviews focused on exploring participants' perspectives on the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acceptability and feasibility of POCUS implementation for diagnosing paediatric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TB. Thematic analysis was used to analyse interview data, aiming to identify key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lastRenderedPageBreak/>
        <w:t>themes related to POCUS implementation in the local healthcare context.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5240E6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 Participants highlighted POCUS as a potentially valuable tool for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improving paediatric TB diagnosis, as it enables immediate imaging and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interpretation, bypassing the delays and accessibility barriers associated with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X-rays. Potential barriers identified for large-scale implementation include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limited diagnostic accuracy, usability, lack of equitable access, need for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capacity building and durability of POCUS devices.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5240E6">
        <w:rPr>
          <w:rFonts w:ascii="宋体" w:eastAsia="宋体" w:hAnsi="宋体" w:cs="宋体"/>
          <w:b/>
          <w:color w:val="000000" w:themeColor="text1"/>
          <w:szCs w:val="24"/>
        </w:rPr>
        <w:t>CONCLUSION: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 This study underscores the potential role of POCUS in the management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of children with presumed TB in resource-constrained settings like Uganda.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Addressing identified barriers through targeted interventions and further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research will be essential for the successful implementation of POCUS in local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healthcare practices.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 2026 The Author(s). Tropical Medicine &amp; International Health published by John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Wiley &amp; Sons Ltd.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DOI: 10.1111/tmi.70210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PMID: 42527858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5240E6" w:rsidRDefault="00EF53A4" w:rsidP="00465EB7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26</w:t>
      </w:r>
      <w:r w:rsidR="00465EB7" w:rsidRPr="005240E6">
        <w:rPr>
          <w:rFonts w:ascii="宋体" w:eastAsia="宋体" w:hAnsi="宋体" w:cs="宋体"/>
          <w:b/>
          <w:color w:val="FF0000"/>
          <w:szCs w:val="24"/>
        </w:rPr>
        <w:t xml:space="preserve">. Cold Spring Harb Perspect Med. 2026 Jul 29:a041890. doi: </w:t>
      </w:r>
    </w:p>
    <w:p w:rsidR="00465EB7" w:rsidRPr="005240E6" w:rsidRDefault="00465EB7" w:rsidP="00465EB7">
      <w:pPr>
        <w:rPr>
          <w:rFonts w:ascii="宋体" w:eastAsia="宋体" w:hAnsi="宋体" w:cs="宋体"/>
          <w:b/>
          <w:color w:val="FF0000"/>
          <w:szCs w:val="24"/>
        </w:rPr>
      </w:pPr>
      <w:r w:rsidRPr="005240E6">
        <w:rPr>
          <w:rFonts w:ascii="宋体" w:eastAsia="宋体" w:hAnsi="宋体" w:cs="宋体"/>
          <w:b/>
          <w:color w:val="FF0000"/>
          <w:szCs w:val="24"/>
        </w:rPr>
        <w:t>10.1101/cshperspect.a041890. Online ahead of print.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Aerobiology and Transmission of Mycobacterium tuberculosis.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Patterson B(1), Warner D(2), Wood R(3).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(1)Amsterdam Institute for Global Health and Development, University of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Amsterdam, Amsterdam 1105, The Netherlands.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(2)Institute of Infectious Disease and Molecular Medicine, University of Cape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Town, Cape Town 7925, South Africa.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(3)Desmond Tutu Health Foundation, University of Cape Town, Cape Town 7925,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South Africa robin.wood@hiv-research.org.za.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Despite vast changes in human social structures through evolution-from small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hunter-gatherer bands to densely populated megacities-Mycobacterium tuberculosis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(Mtb) has persisted within human populations for millennia, underscoring the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bacterium's exceptional transmissibility. This paper examines the aerobiological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foundations of Mtb transmission, tracing the bacillus from expulsion in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respiratory aerosols through environmental survival to deposition and infection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in new hosts. It considers how host, mycobacterial, and environmental factors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interact to influence transmission efficiency, highlighting recent advances in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direct aerosol sampling that have challenged longstanding assumptions. While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cough has traditionally been considered the primary dissemination route, new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evidence shows that tidal breathing can generate infectious aerosols in the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absence of symptoms. These findings are consistent with emerging evidence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suggesting that asymptomatic individuals may contribute more substantially to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transmission than previously recognized, with significant implications for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understanding Mtb pathogenicity and host susceptibility to infection and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disease.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Copyright © 2026 Cold Spring Harbor Laboratory Press; all rights reserved.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DOI: 10.1101/cshperspect.a041890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PMID: 42527302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5240E6" w:rsidRDefault="00EF53A4" w:rsidP="00465EB7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27</w:t>
      </w:r>
      <w:r w:rsidR="00465EB7" w:rsidRPr="005240E6">
        <w:rPr>
          <w:rFonts w:ascii="宋体" w:eastAsia="宋体" w:hAnsi="宋体" w:cs="宋体"/>
          <w:b/>
          <w:color w:val="FF0000"/>
          <w:szCs w:val="24"/>
        </w:rPr>
        <w:t xml:space="preserve">. Transplant Proc. 2026 Jul 29:S0041-1345(26)00355-6. doi: </w:t>
      </w:r>
    </w:p>
    <w:p w:rsidR="00465EB7" w:rsidRPr="005240E6" w:rsidRDefault="00465EB7" w:rsidP="00465EB7">
      <w:pPr>
        <w:rPr>
          <w:rFonts w:ascii="宋体" w:eastAsia="宋体" w:hAnsi="宋体" w:cs="宋体"/>
          <w:b/>
          <w:color w:val="FF0000"/>
          <w:szCs w:val="24"/>
        </w:rPr>
      </w:pPr>
      <w:r w:rsidRPr="005240E6">
        <w:rPr>
          <w:rFonts w:ascii="宋体" w:eastAsia="宋体" w:hAnsi="宋体" w:cs="宋体"/>
          <w:b/>
          <w:color w:val="FF0000"/>
          <w:szCs w:val="24"/>
        </w:rPr>
        <w:t>10.1016/j.transproceed.2026.07.009. Online ahead of print.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Recurrence of ANCA-Associated Vasculitis After Kidney Transplantation in a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Patient With Pulmonary Tuberculosis: A Case Report.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Silva PGDR(1), Dourado MMC(2), de Medeiros MRP(2), Lopes LB(2), Andrade LGDF(2),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Junior JOB(2), Danzi GG(2), Cabral DBC(2), Galvão VHS(2), Batista MEV(2).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(1)Hospital das Clínicas, Universidade Federal de Pernambuco (UFPE), Recife,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Pernambuco, Brazil. Electronic address: philliperego94@gmail.com.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(2)Hospital das Clínicas, Universidade Federal de Pernambuco (UFPE), Recife,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Pernambuco, Brazil.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Recurrence of antineutrophil cytoplasmic antibody-associated vasculitis (AAV)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after kidney transplantation is uncommon and has become less frequent with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modern immunosuppressive strategies. However, infections and modulation of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immunosuppression may act as potential triggers for disease reactivation. We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report the case of a 28-year-old male kidney transplant recipient with end-stage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renal disease secondary to granulomatosis with polyangiitis (GPA). One year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prior to transplantation, he had a low-titer C-ANCA positivity, with no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subsequent ANCA measurements until the current admission. Six years after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transplantation, the patient developed pulmonary tuberculosis and required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antituberculous therapy, during which tacrolimus serum concentrations decreased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significantly. Despite partial clinical improvement, he presented with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persistent fever, progressive allograft dysfunction, hematuria, proteinuria, and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elevated serum C-ANCA. Kidney allograft biopsy revealed pauci-immune crescentic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glomerulonephritis, consistent with recurrent GPA. Immunosuppressive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intensification with corticosteroids and cyclophosphamide, followed by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rituximab, resulted in improvement of renal function without infectious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deterioration, while antituberculous therapy was successfully completed. This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case highlights that recurrence of AAV should be considered in the evaluation of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kidney allograft dysfunction, particularly in the context of infection and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immunosuppressive modulation. With careful monitoring and individualized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management, vasculitis recurrence can be effectively treated even in the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presence of active tuberculosis.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Copyright © 2026 The Author(s). Published by Elsevier Inc. All rights reserved.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DOI: 10.1016/j.transproceed.2026.07.009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PMID: 42527253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5240E6" w:rsidRDefault="00EF53A4" w:rsidP="00465EB7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28</w:t>
      </w:r>
      <w:r w:rsidR="00465EB7" w:rsidRPr="005240E6">
        <w:rPr>
          <w:rFonts w:ascii="宋体" w:eastAsia="宋体" w:hAnsi="宋体" w:cs="宋体"/>
          <w:b/>
          <w:color w:val="FF0000"/>
          <w:szCs w:val="24"/>
        </w:rPr>
        <w:t>. Infect Genet Evol. 2026 Jul 29:105997. doi: 10.101</w:t>
      </w:r>
      <w:r w:rsidR="005240E6" w:rsidRPr="005240E6">
        <w:rPr>
          <w:rFonts w:ascii="宋体" w:eastAsia="宋体" w:hAnsi="宋体" w:cs="宋体"/>
          <w:b/>
          <w:color w:val="FF0000"/>
          <w:szCs w:val="24"/>
        </w:rPr>
        <w:t xml:space="preserve">6/j.meegid.2026.105997. Online </w:t>
      </w:r>
      <w:r w:rsidR="00465EB7" w:rsidRPr="005240E6">
        <w:rPr>
          <w:rFonts w:ascii="宋体" w:eastAsia="宋体" w:hAnsi="宋体" w:cs="宋体"/>
          <w:b/>
          <w:color w:val="FF0000"/>
          <w:szCs w:val="24"/>
        </w:rPr>
        <w:t>ahead of print.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Genomic diversity and transmission routes of Mycobacterium tuberculosis isolates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in Morocco.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Houida S(1), Couvin D(2), Hakima S(3), Fatmi Y(4), Rastogi N(5), El Messaoud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MD(6).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(1)Center for Diagnosis and Expertise in Tuberculosis and Mycobacteria -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Laboratory Rodolphe Mérieux Morocco, Institut Pasteur of Morocco, Casablanca,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Morocco. Electronic address: sofia.houida@pasteur.ma.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(2)WHO Supranational TB Reference Laboratory, Tuberculosis and Mycobacteria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Unit, Institut Pasteur de la Guadeloupe, Les Abymes, Guadeloupe; Laboratoire de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Mathématiques Informatique et Applications (LAMIA), Université des Antilles,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Pointe-à-Pitre, Guadeloupe. Electronic address: dcouvin@pasteur-guadeloupe.fr.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(3)Center for Diagnosis and Expertise in Tuberculosis and Mycobacteria -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Laboratory Rodolphe Mérieux Morocco, Institut Pasteur of Morocco, Casablanca,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Morocco.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(4)Center for Diagnosis and Expertise in Tuberculosis and Mycobacteria -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Laboratory Rodolphe Mérieux Morocco, Institut Pasteur of Morocco, Casablanca,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Morocco. Electronic address: youssra.fatmi@um5r.ac.ma.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(5)WHO Supranational TB Reference Laboratory, Tuberculosis and Mycobacteria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Unit, Institut Pasteur de la Guadeloupe, Les Abymes, Guadeloupe.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(6)Center for Diagnosis and Expertise in Tuberculosis and Mycobacteria -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Laboratory Rodolphe Mérieux Morocco, Institut Pasteur of Morocco, Casablanca,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Morocco. Electronic address: mydriss.elmessaoudi@pasteur.ma.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Whole-genome sequencing (WGS) provides high-resolution insight into the genetic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diversity, transmission dynamics, and drug-resistance mechanisms of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Mycobacterium tuberculosis (MTB), yet genomic data from Morocco remain limited.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In this study, we analyzed 68 WGS datasets of Moroccan MTB isolates and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contextualized them using 19 global reference genomes. Lineages and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resistance-associated mutations were determined with TB-Profiler. Pairwise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single-nucleotide polymorphism (SNP) distances, phylogeny and transmission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clusters were defined using well-established SNP thresholds implemented in the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MTBseq pipeline. In silico spoligotypes were further compared with the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SITVITEXTEND database to place Moroccan isolates in a broader regional context.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Results demonstrated that circulating MTB strains in Morocco were dominated by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Euro-American Lineage 4 (89.7%), with a smaller contribution from the Beijing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lineage (L2.2.1). Resistance to rifampicin and isoniazid was mainly driven by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canonical rpoB Ser450Leu and katG Ser315Thr mutations, while resistance to other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drugs involved diverse variants. Seventeen genomic clusters encompassing 73.5%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of isolates were identified, including nine clusters with isolates differing by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0-5 SNPs, consistent with very recent transmission. Multidrug-resistant and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pre-extensively drug-resistant isolates were disproportionately concentrated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within LAM 4.3 and Beijing sub-lineages. Spoligotyping comparisons confirmed the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predominance of Euro-American lineages across Morocco and neighboring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Mediterranean countries. This first comprehensive WGS-based analysis provides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crucial insights into the molecular epidemiology of tuberculosis in Morocco,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emphasizing the importance of integrating genomic tools into national TB control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programs. Understanding the genetic landscape and transmission pathways of M.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tuberculosis will support more effective public health strategies aimed at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reducing TB incidence and preventing the spread of drug-resistant strains.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Copyright © 2026. Published by Elsevier B.V.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DOI: 10.1016/j.meegid.2026.105997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PMID: 42526843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5240E6" w:rsidRDefault="00EF53A4" w:rsidP="00465EB7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29</w:t>
      </w:r>
      <w:r w:rsidR="00465EB7" w:rsidRPr="005240E6">
        <w:rPr>
          <w:rFonts w:ascii="宋体" w:eastAsia="宋体" w:hAnsi="宋体" w:cs="宋体"/>
          <w:b/>
          <w:color w:val="FF0000"/>
          <w:szCs w:val="24"/>
        </w:rPr>
        <w:t xml:space="preserve">. J Glob Antimicrob Resist. 2026 Jul 29:S2213-7165(26)00113-X. doi: </w:t>
      </w:r>
    </w:p>
    <w:p w:rsidR="00465EB7" w:rsidRPr="005240E6" w:rsidRDefault="00465EB7" w:rsidP="00465EB7">
      <w:pPr>
        <w:rPr>
          <w:rFonts w:ascii="宋体" w:eastAsia="宋体" w:hAnsi="宋体" w:cs="宋体"/>
          <w:b/>
          <w:color w:val="FF0000"/>
          <w:szCs w:val="24"/>
        </w:rPr>
      </w:pPr>
      <w:r w:rsidRPr="005240E6">
        <w:rPr>
          <w:rFonts w:ascii="宋体" w:eastAsia="宋体" w:hAnsi="宋体" w:cs="宋体"/>
          <w:b/>
          <w:color w:val="FF0000"/>
          <w:szCs w:val="24"/>
        </w:rPr>
        <w:t>10.1016/j.jgar.2026.07.006. Online ahead of print.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Applying Pharmaceutical Care Concepts to Address Antimicrobial Resistance in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Low- and Middle-Income Countries with Particular Emphasis on Tuberculosis.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Messner K(1), Bollinger A(2), Knopp S(3), Utzinger J(3), Allemann SS(4).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(1)University of Basel, Basel, Switzerland. Electronic address: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kirstin.messner@unibas.ch.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(2)University of Basel, Basel, Switzerland. Electronic address: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a.bollinger@unibas.ch.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(3)University of Basel, Basel, Switzerland; Swiss Tropical and Public Health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Institute, Allschwil, Switzerland.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(4)University of Basel, Basel, Switzerland.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Antimicrobial resistance in tuberculosis (TB) is a growing public health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problem, particularly in low- and middle-income countries (LMICs). Factors such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as delayed diagnosis, inadequate treatment adherence, limited access to drug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susceptibility testing, and fragmented healthcare systems contribute to the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emergence and transmission of multidrug-resistant TB. This article aims to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present pharmacist-led pharmaceutical care strategies with practical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recommendations to curb the development and spread of multi-resistant TB in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LMICs. Promising interventions include patient-centered education, structured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adherence support to reduce treatment interruption, and the integration of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simplified diagnostic approaches, such as dried blood spot testing. Furthermore,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collaborative healthcare efforts among pharmacists, physicians, patients, and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other public health stakeholders, are essential to improving treatment outcomes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and mitigating the impact of drug-resistant TB.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Copyright © 2026. Published by Elsevier Ltd.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DOI: 10.1016/j.jgar.2026.07.006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PMID: 42526708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5240E6" w:rsidRDefault="00465EB7" w:rsidP="00465EB7">
      <w:pPr>
        <w:rPr>
          <w:rFonts w:ascii="宋体" w:eastAsia="宋体" w:hAnsi="宋体" w:cs="宋体"/>
          <w:b/>
          <w:color w:val="FF0000"/>
          <w:szCs w:val="24"/>
        </w:rPr>
      </w:pPr>
      <w:r w:rsidRPr="005240E6">
        <w:rPr>
          <w:rFonts w:ascii="宋体" w:eastAsia="宋体" w:hAnsi="宋体" w:cs="宋体"/>
          <w:b/>
          <w:color w:val="FF0000"/>
          <w:szCs w:val="24"/>
        </w:rPr>
        <w:t>3</w:t>
      </w:r>
      <w:r w:rsidR="00EF53A4">
        <w:rPr>
          <w:rFonts w:ascii="宋体" w:eastAsia="宋体" w:hAnsi="宋体" w:cs="宋体"/>
          <w:b/>
          <w:color w:val="FF0000"/>
          <w:szCs w:val="24"/>
        </w:rPr>
        <w:t>0</w:t>
      </w:r>
      <w:r w:rsidRPr="005240E6">
        <w:rPr>
          <w:rFonts w:ascii="宋体" w:eastAsia="宋体" w:hAnsi="宋体" w:cs="宋体"/>
          <w:b/>
          <w:color w:val="FF0000"/>
          <w:szCs w:val="24"/>
        </w:rPr>
        <w:t>. Indian J Med Microbiol. 2026 Jul 29;64:101232. doi</w:t>
      </w:r>
      <w:r w:rsidR="005240E6" w:rsidRPr="005240E6">
        <w:rPr>
          <w:rFonts w:ascii="宋体" w:eastAsia="宋体" w:hAnsi="宋体" w:cs="宋体"/>
          <w:b/>
          <w:color w:val="FF0000"/>
          <w:szCs w:val="24"/>
        </w:rPr>
        <w:t xml:space="preserve">: 10.1016/j.ijmmb.2026.101232. </w:t>
      </w:r>
      <w:r w:rsidRPr="005240E6">
        <w:rPr>
          <w:rFonts w:ascii="宋体" w:eastAsia="宋体" w:hAnsi="宋体" w:cs="宋体"/>
          <w:b/>
          <w:color w:val="FF0000"/>
          <w:szCs w:val="24"/>
        </w:rPr>
        <w:t>Online ahead of print.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Detection of drug-resistant Extrapulmonary tuberculosis by Xpert® MTB/XDR assay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- a comparison with phenotypic drug susceptibility testing and line probe assay.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Sharma K(1), Sharma M(2), Joshi H(3), Shree R(4), Singla N(5), Sharma V(6),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Sharma A(7), Singh R(8), Modi M(9), Sharma N(10), Sinha SK(11), Dhillon MS(12),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Gupta A(13).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(1)Department of Medical Microbiology, PGIMER, Chandigarh, India. Electronic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address: sharmakusum9@yahoo.co.in.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(2)Department of Microbiology, AIIMS Bilaspur, HP, India. Electronic address: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megha_sharma_16@yahoo.co.in.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(3)Department of Medical Microbiology, PGIMER, Chandigarh, India. Electronic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address: joshi.himanshu85@gmail.com.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(4)Department of Neurology, PGIMER, Chandigarh, India. Electronic address: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Ritushree18@gmail.com.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(5)Department of Internal Medicine, PGIMER, Chandigarh, India. Electronic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address: neerajsingledr@gmail.com.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(6)Department of Gastroenterology, PGIMER, Chandigarh, India. Electronic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address: docvishalsharma@gmail.com.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(7)Department of Internal Medicine, PGIMER, Chandigarh, India. Electronic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lastRenderedPageBreak/>
        <w:t>address: amansharma72@yahoo.com.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(8)Advanced Eye Centre, Department of Ophthalmology, PGIMER, Chandigarh, India.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Electronic address: mankoo95@yahoo.com.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(9)Department of Neurology, PGIMER, Chandigarh, India. Electronic address: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modim72@yahoo.com.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(10)Department of Emergency Medicine, PGIMER, Chandigarh, India. Electronic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address: navneetsharma@hotmail.com.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(11)Department of Gastroenterology, PGIMER, Chandigarh, India. Electronic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address: sarojksinha@hotmail.com.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(12)Department of Orthopaedics, PGIMER, Chandigarh, India. Electronic address: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drdhillon@gmail.com.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(13)Advanced Eye Centre, Department of Ophthalmology, PGIMER, Chandigarh, India.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Electronic address: dramodgupta@gmail.com.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5240E6">
        <w:rPr>
          <w:rFonts w:ascii="宋体" w:eastAsia="宋体" w:hAnsi="宋体" w:cs="宋体"/>
          <w:b/>
          <w:color w:val="000000" w:themeColor="text1"/>
          <w:szCs w:val="24"/>
        </w:rPr>
        <w:t xml:space="preserve">PURPOSE: 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An important step towards Tuberculosis elimination is rapid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identification of extrapulmonary tuberculosis (EPTB) cases and universal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drug-susceptibility testing (DST). This study evaluated the performance of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Xpert® MTB/XDR assay in detecting drug-resistant EPTB and compared its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performance with phenotypic and genotypic DST.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5240E6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 62 samples diagnosed as EPTB by Xpert® MTB/RIF Ultra were subjected to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Xpert® MTB/XDR assay (Xpert®-XDR), phenotypic DST using mycobacterial growth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indicator tube and genotypic DST using line probe assay (LPA). Gene sequencing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was done to settle discordant results. Tests were compared using categorial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agreement (CA), very major error (VME) and major error (ME).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5240E6">
        <w:rPr>
          <w:rFonts w:ascii="宋体" w:eastAsia="宋体" w:hAnsi="宋体" w:cs="宋体"/>
          <w:b/>
          <w:color w:val="000000" w:themeColor="text1"/>
          <w:szCs w:val="24"/>
        </w:rPr>
        <w:t xml:space="preserve">RESULTS: 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57 cases having Ct values between 15 and 22 in Xpert® MTB/RIF Ultra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were detected by Xpert®-XDR. 100% concordance was noted between Xpert®-XDR and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phenotypic &amp; genotypic DST in reporting susceptibility against isoniazid and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second-line injectables. Three cases and one case of false-resistance were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reported against phenotypic and genotypic DST, respectively. Categorical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agreement was 98.8% against phenotypic DST and 99.6% against genotypic DST.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There were no VMEs and MEs were within acceptable range.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5240E6">
        <w:rPr>
          <w:rFonts w:ascii="宋体" w:eastAsia="宋体" w:hAnsi="宋体" w:cs="宋体"/>
          <w:b/>
          <w:color w:val="000000" w:themeColor="text1"/>
          <w:szCs w:val="24"/>
        </w:rPr>
        <w:t xml:space="preserve">CONCLUSION: 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Xpert®-XDR can be used as a reflex test following EPTB detection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(e.g., by Xpert®-Ultra) to direct early and successful therapy in settings with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high TB and DR-TB burden.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Copyright © 2026 Indian Association of Medical Microbiologists. Published by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Elsevier B.V. All rights reserved.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DOI: 10.1016/j.ijmmb.2026.101232</w:t>
      </w:r>
    </w:p>
    <w:p w:rsidR="00465EB7" w:rsidRPr="00465EB7" w:rsidRDefault="005240E6" w:rsidP="00465EB7">
      <w:pPr>
        <w:rPr>
          <w:rFonts w:ascii="宋体" w:eastAsia="宋体" w:hAnsi="宋体" w:cs="宋体" w:hint="eastAsia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t>PMID: 42526642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5240E6" w:rsidRDefault="00EF53A4" w:rsidP="00465EB7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31</w:t>
      </w:r>
      <w:r w:rsidR="00465EB7" w:rsidRPr="005240E6">
        <w:rPr>
          <w:rFonts w:ascii="宋体" w:eastAsia="宋体" w:hAnsi="宋体" w:cs="宋体"/>
          <w:b/>
          <w:color w:val="FF0000"/>
          <w:szCs w:val="24"/>
        </w:rPr>
        <w:t>. Vet Res Commun. 2026 Jul 29;50(5):489. doi: 10.1007/s11259-026-11427-6.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Quadruple co-infection with Mycobacterium tuberculosis complex and M. kansasii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lastRenderedPageBreak/>
        <w:t>in a chronically immunosuppressed cat.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Choi S(#)(1)(2), Choi SN(#)(3), Lee TG(4), Ryoo S(4)(5), Kwak JH(1), Kim KW(1),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Park TI(6), Song WJ(2), Lee EJ(7), Jeong KS(8)(9).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(1)FM Animal Medical Center, Goyang and Gimpo, 10080, Republic of Korea.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(2)College of Veterinary Medicine, Jeju National University, Jeju, 63243,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Republic of Korea.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(3)College of Veterinary Medicine, Kyungpook National University, Daegu, 41566,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Republic of Korea.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(4)Clinical Research Centre, Masan National Tuberculosis Hospital, Changwon,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51755, Republic of Korea.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(5)Department of Biology and Chemistry, Changwon National University, Changwon,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51140, Republic of Korea.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(6)Kyungpook National University Hospital, Daegu, 41944, Republic of Korea.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(7)Department of Anatomy, College of Medicine, Inha University, Incheon, 22212,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Republic of Korea.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(8)Department of Pet Industry, College of Adventure, Daegu Haany University,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Gyeongsan, 38610, Republic of Korea. jeongks@dhu.ac.kr.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(9)Stellamed Co., Ltd., Daegu, 41504, Republic of Korea. jeongks@dhu.ac.kr.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(#)Contributed equally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An 8-year-old spayed female American Shorthair cat was evaluated for refractory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perioral nodules and respiratory distress persisting for 9 months. The patient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had a history of feline atopy and chronic gingivostomatitis managed with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long-term immunosuppressive therapy, including cyclosporine A and prednisolone.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Pre-surgical computed tomography (CT) revealed a 2.1 cm nasolabial mass without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osteolysis, later diagnosed as a mycobacterial infection. This unusual infection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was tentatively attributed to pharmacological suppression of cell-mediated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immunity, potentially impairing both granuloma formation and inflammatory bone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resorption. Fine-needle aspiration (FNA) and Ziehl-Neelsen (ZN) staining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demonstrated a high burden of acid-fast bacilli (AFB). However, conventional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cultures, including inoculation on 3% Ogawa medium, failed due to rapid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overgrowth of Klebsiella pneumoniae (K. pneumoniae). Post-mortem multi-target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real-time PCR and whole genome sequencing (WGS), together with internal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transcribed spacer (ITS) sequencing and phenotypic antimicrobial testing,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identified a fatal co-infection comprising Mycobacterium tuberculosis complex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(MTBC), Mycobacterium kansasii, K. pneumoniae, and multidrug-resistant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Pseudomonas aeruginosa. This report describes a rare feline case of a fatal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polymicrobial infection involving both MTBC and non-tuberculous mycobacteria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(NTM) in conjunction with opportunistic gram-negative pathogens. The findings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suggest that chronic iatrogenic immunosuppression may alter or obscure classical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diagnostic features of mycobacteriosis and facilitate complex co-infections.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This case highlights the importance of high-sensitivity molecular diagnostics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and suggests that immunocompromised companion animals may, in rare instances,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serve as cautious indicators of possible household mycobacterial exposure within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 One Health framework.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 2026. The Author(s).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DOI: 10.1007/s11259-026-11427-6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PMCID: PMC13421224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PMID: 42525188 [Indexed for MEDLINE]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5240E6" w:rsidRDefault="00EF53A4" w:rsidP="00465EB7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32</w:t>
      </w:r>
      <w:r w:rsidR="00465EB7" w:rsidRPr="005240E6">
        <w:rPr>
          <w:rFonts w:ascii="宋体" w:eastAsia="宋体" w:hAnsi="宋体" w:cs="宋体"/>
          <w:b/>
          <w:color w:val="FF0000"/>
          <w:szCs w:val="24"/>
        </w:rPr>
        <w:t>. mBio. 2026 Jul 29:e0088826. doi: 10.1128/mbio.00888-26. Online ahead of print.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Inducible cysteine synthesis by CysK2 provides copper resistance in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Mycobacterium tuberculosis.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Ji DX(1), Silvaggi NR(2), Benko A(2), Darwin KH(1).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(1)Department of Microbiology, NYU Grossman School of Medicine, New York, New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York, USA.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(2)Department of Chemistry and Biochemistry, University of Wisconsin-Milwaukee,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Milwaukee, Wisconsin, USA.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Copper is an essential nutrient that at high levels is toxic to life. Mammalian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hosts can accumulate copper in phagolysosomes to restrict a variety of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pathogens, including Mycobacterium tuberculosis. However, pathogens have evolved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various mechanisms to counter copper stress. While several pathways that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mitigate copper-derived toxicity have been described in Mycobacterium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tuberculosis, the Mycobacterium tuberculosis lab strain H37Rv is significantly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more sensitive to copper than other lab strains, including CDC1551 and Erdman.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Here, we determine a cause of this sensitivity in H37Rv is due to a single amino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acid substitution in CysK2 (Rv0848), which is encoded in the copper-inducible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RicR regulon required for robust copper resistance and virulence. H37Rv CysK2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was previously reported as a S-sulfocysteine synthase. However, we found CysK2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is a cysteine synthase, the activity of which is required for resistance to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copper. This study is the first to link de novo cysteine biosynthesis with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copper resistance in Mycobacterium tuberculosis.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5240E6">
        <w:rPr>
          <w:rFonts w:ascii="宋体" w:eastAsia="宋体" w:hAnsi="宋体" w:cs="宋体"/>
          <w:b/>
          <w:color w:val="000000" w:themeColor="text1"/>
          <w:szCs w:val="24"/>
        </w:rPr>
        <w:t>IMPORTANCE: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 Copper is a proposed component of the host immune response against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Mycobacterium tuberculosis; thus, an understanding of how this pathogen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mitigates copper stress may yield new targets for therapeutics. Cysteine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synthesis is implicated in copper responses in other bacterial species, but had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not been shown in mycobacterial copper resistance. This study demonstrates for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the first time that the Mycobacterium tuberculosis cysteine synthase CysK2 and,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lastRenderedPageBreak/>
        <w:t>by extension, cysteine biosynthesis, can promote copper resistance.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DOI: 10.1128/mbio.00888-26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PMID: 42523120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5240E6" w:rsidRDefault="00EF53A4" w:rsidP="00465EB7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33</w:t>
      </w:r>
      <w:r w:rsidR="00465EB7" w:rsidRPr="005240E6">
        <w:rPr>
          <w:rFonts w:ascii="宋体" w:eastAsia="宋体" w:hAnsi="宋体" w:cs="宋体"/>
          <w:b/>
          <w:color w:val="FF0000"/>
          <w:szCs w:val="24"/>
        </w:rPr>
        <w:t>. J Infect Dis. 2026 Jul 29:jiag380. doi: 10.1093/i</w:t>
      </w:r>
      <w:r w:rsidR="005240E6" w:rsidRPr="005240E6">
        <w:rPr>
          <w:rFonts w:ascii="宋体" w:eastAsia="宋体" w:hAnsi="宋体" w:cs="宋体"/>
          <w:b/>
          <w:color w:val="FF0000"/>
          <w:szCs w:val="24"/>
        </w:rPr>
        <w:t xml:space="preserve">nfdis/jiag380. Online ahead of </w:t>
      </w:r>
      <w:r w:rsidR="00465EB7" w:rsidRPr="005240E6">
        <w:rPr>
          <w:rFonts w:ascii="宋体" w:eastAsia="宋体" w:hAnsi="宋体" w:cs="宋体"/>
          <w:b/>
          <w:color w:val="FF0000"/>
          <w:szCs w:val="24"/>
        </w:rPr>
        <w:t>print.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CD4+ T cell markers associated with Treatment Outcomes in Tuberculosis: A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Sub-analysis of a Phase IIB Trial of Acetylsalicylic acid and Ibuprofen as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Adjunctive Therapy.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Alonso-Rodríguez N(1), Edlund IH(1)(2), Aass HCD(3), Sopegno C(4)(5), Farrés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J(4), Gogichadze N(4)(6), Arias L(4)(7), Fonseca KL(4)(7), Otwombe K(8)(9), Waja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Z(8), Moloantoa T(8), Pillay N(8), Seiphetlo T(8), Martinson N(8)(10), Vilaplana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C(4)(6)(7)(11), Dyrhol-Riise AM(1)(2).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(1)Department of Infectious Diseases, Oslo University Hospital, Oslo, Norway.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(2)Institute of Clinical Medicine, University of Oslo, Norway.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(3)Department of Medical Biochemistry, Oslo University Hospital, Oslo, Norway.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(4)Experimental TB Unit, Germans Trias I Pujol Research Institute (IGTP),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Badalona, Catalonia  Spain.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(5)Structural Bioinformatics Lab, Universitat Pompeu Fabra, Barcelona, Catalonia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 w:hint="eastAsia"/>
          <w:color w:val="000000" w:themeColor="text1"/>
          <w:szCs w:val="24"/>
        </w:rPr>
        <w:t> </w:t>
      </w:r>
      <w:r w:rsidRPr="00465EB7">
        <w:rPr>
          <w:rFonts w:ascii="宋体" w:eastAsia="宋体" w:hAnsi="宋体" w:cs="宋体"/>
          <w:color w:val="000000" w:themeColor="text1"/>
          <w:szCs w:val="24"/>
        </w:rPr>
        <w:t>Spain.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(6)Universitat Autònoma de Barcelona, Bellaterra, Catalonia,  Spain.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(7)Centro de Investigación Biomédica en Red de Enfermedades Respiratorias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(CIBERES),  Madrid, Spain.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(8)Perinatal HIV Research Unit (PHRU), University of the Witwatersrand,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Johannesburg, South Africa.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(9)School of Public Health, Faculty of Health Sciences, University of the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Witwatersrand, Johannesburg, South Africa.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(10)Centre for TB Research, Johns Hopkins University, Baltimore, USA.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(11)Microbiology Department, Northern Metropolitan Clinical Laboratory, Hospital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Universitari Germans Trias I Pujol, Badalona, Catalonia  Spain.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5240E6">
        <w:rPr>
          <w:rFonts w:ascii="宋体" w:eastAsia="宋体" w:hAnsi="宋体" w:cs="宋体"/>
          <w:b/>
          <w:color w:val="000000" w:themeColor="text1"/>
          <w:szCs w:val="24"/>
        </w:rPr>
        <w:t xml:space="preserve">BACKGROUND: 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Adjunctive host-directed therapies (HDT) may improve treatment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outcomes in tuberculosis (TB). Affordable repurposed drugs can be quickly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implemented in clinical practice; however, predictive biomarkers are essential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for determining their potential effectiveness.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5240E6">
        <w:rPr>
          <w:rFonts w:ascii="宋体" w:eastAsia="宋体" w:hAnsi="宋体" w:cs="宋体"/>
          <w:b/>
          <w:color w:val="000000" w:themeColor="text1"/>
          <w:szCs w:val="24"/>
        </w:rPr>
        <w:t xml:space="preserve">METHODS: 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72 patients (35.2% people with HIV) from South Africa with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drug-sensitive pulmonary TB, recruited to the SMA-TB clinical trial of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adjunctive acetylsalicylic acid (ASA) and ibuprofen (IBU), were included. CD4+ T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cell subsets and Mtb-specific CD4+ T cell responses were analysed by flow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cytometry at baseline, week 2, week 8 and week 24 and tested as predictors for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microbiological, clinical and radiological outcomes.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5240E6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 Most TB patients experienced a fast sputum culture conversion and good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clinical and radiological outcomes by week 24, regardless of intervention or HIV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co-infection. During TB therapy, fractions of Mtb-specific polyfunctional CD4+ T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cells, Th1 and Th1/Th17 subsets, and CD153 expression increased, whereas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Ki67+HLA-DR+ CD4+ T cells declined. No statistically significant differences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were identified between the ASA or IBU groups and placebo for any defined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outcome. Still, higher baseline fractions of polyfunctional and CD153-expressing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CD4+ T cells were associated with fast sputum culture conversion in the ASA and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placebo arms.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5240E6">
        <w:rPr>
          <w:rFonts w:ascii="宋体" w:eastAsia="宋体" w:hAnsi="宋体" w:cs="宋体"/>
          <w:b/>
          <w:color w:val="000000" w:themeColor="text1"/>
          <w:szCs w:val="24"/>
        </w:rPr>
        <w:t>CONCLUSIONS: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 CD4+ T cell subsets show promise as markers of disease severity and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potential predictors of microbiological, clinical, and radiological outcomes in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treated TB. However, the present findings are insufficient to support the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routine use of ASA or IBU in adjunctive HDT regimens, and larger, targeted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studies are warranted.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 The Author(s) 2026. Published by Oxford University Press on behalf of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Infectious Diseases Society of America.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DOI: 10.1093/infdis/jiag380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PMID: 42522698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5240E6" w:rsidRDefault="00EF53A4" w:rsidP="00465EB7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34</w:t>
      </w:r>
      <w:r w:rsidR="00465EB7" w:rsidRPr="005240E6">
        <w:rPr>
          <w:rFonts w:ascii="宋体" w:eastAsia="宋体" w:hAnsi="宋体" w:cs="宋体"/>
          <w:b/>
          <w:color w:val="FF0000"/>
          <w:szCs w:val="24"/>
        </w:rPr>
        <w:t>. Trop Med Int Health. 2026 Jul 28. doi: 10.1111/tmi.70206. Online ahead of print.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Asymptomatic Tuberculosis in the Namibia National Tuberculosis Prevalence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Survey: Occurrence Under Various Case Definitions.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Ruswa N(1)(2), Gunther G(1)(3), Mavhunga F(4), Cobelens F(5), Claassens M(1)(6).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(1)School of Medicine, University of Namibia, Windhoek, Namibia.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(2)National Tuberculosis and Leprosy Programme, Ministry of Health and Social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Services, Windhoek, Namibia.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(3)Department of Pulmonology, Allergology and Clinical Immunology, Inselspital,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Bern University Hospital, University of Bern, Bern, Switzerland.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(4)World Health Organization, Geneva, Switzerland.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(5)Amsterdam University Medical Centres, University of Amsterdam, Amsterdam, the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Netherlands.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(6)Desmond Tutu TB Centre, Stellenbosch University, Stellenbosch, South Africa.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5240E6">
        <w:rPr>
          <w:rFonts w:ascii="宋体" w:eastAsia="宋体" w:hAnsi="宋体" w:cs="宋体"/>
          <w:b/>
          <w:color w:val="000000" w:themeColor="text1"/>
          <w:szCs w:val="24"/>
        </w:rPr>
        <w:t>BACKGROUND: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 Asymptomatic tuberculosis (TB) is emerging as a disease state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warranting attention because it is presumed infectious, yet affected individuals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lack symptoms. The World Health Organization recommends screening for cough,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fever, weight loss and night sweats and recently defined asymptomatic TB.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However, the place of these symptoms in the definition has not yet been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standardised. We determined the proportion of patients with bacteriologically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confirmed asymptomatic TB without four symptom definitions: persistent cough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(&gt;</w:t>
      </w:r>
      <w:r w:rsidRPr="00465EB7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465EB7">
        <w:rPr>
          <w:rFonts w:ascii="宋体" w:eastAsia="宋体" w:hAnsi="宋体" w:cs="宋体"/>
          <w:color w:val="000000" w:themeColor="text1"/>
          <w:szCs w:val="24"/>
        </w:rPr>
        <w:t>2</w:t>
      </w:r>
      <w:r w:rsidRPr="00465EB7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465EB7">
        <w:rPr>
          <w:rFonts w:ascii="宋体" w:eastAsia="宋体" w:hAnsi="宋体" w:cs="宋体"/>
          <w:color w:val="000000" w:themeColor="text1"/>
          <w:szCs w:val="24"/>
        </w:rPr>
        <w:t>weeks), cough of any duration, W4SS of any duration or W4SS for &gt;</w:t>
      </w:r>
      <w:r w:rsidRPr="00465EB7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465EB7">
        <w:rPr>
          <w:rFonts w:ascii="宋体" w:eastAsia="宋体" w:hAnsi="宋体" w:cs="宋体"/>
          <w:color w:val="000000" w:themeColor="text1"/>
          <w:szCs w:val="24"/>
        </w:rPr>
        <w:t>2</w:t>
      </w:r>
      <w:r w:rsidRPr="00465EB7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465EB7">
        <w:rPr>
          <w:rFonts w:ascii="宋体" w:eastAsia="宋体" w:hAnsi="宋体" w:cs="宋体"/>
          <w:color w:val="000000" w:themeColor="text1"/>
          <w:szCs w:val="24"/>
        </w:rPr>
        <w:t>weeks.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5240E6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 Secondary analysis of the Namibia TB prevalence survey data was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performed; a representative sample had been interviewed for symptoms, underwent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chest radiography and was offered bacteriological testing. The proportion of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asymptomatic TB was computed for each definition. Logistic regression was used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to determine factors associated with asymptomatic TB across four definitions.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5240E6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 Among 29,495 participants in the nationally representative sample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(86.8% of the target sample size), 123</w:t>
      </w:r>
      <w:r w:rsidRPr="00465EB7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TB cases met the case definition. Mean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age was 45</w:t>
      </w:r>
      <w:r w:rsidRPr="00465EB7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years, and 74 (60%) were male. Of TB cases, 60/123 (48.8%) reported a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cough of any duration, 20/123 (16.3%) a fever of any duration, 25/123 (20.3%)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weight loss and 26/123 (21.1%) night sweats. Asymptomatic TB ranged from 39.8%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to 63.0% by definition, with screening based on prolonged cough missing 63.0% of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bacteriologically confirmed TB patients, while screening based on W4SS any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duration missed 39.8% of TB cases.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5240E6">
        <w:rPr>
          <w:rFonts w:ascii="宋体" w:eastAsia="宋体" w:hAnsi="宋体" w:cs="宋体"/>
          <w:b/>
          <w:color w:val="000000" w:themeColor="text1"/>
          <w:szCs w:val="24"/>
        </w:rPr>
        <w:t>CONCLUSION: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 Even when using an inclusive symptom screening system that includes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any duration of the W4SS, asymptomatic TB occurred in 39.8%, highlighting a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public health concern for asymptomatic TB. There is a need to standardise the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symptoms being used when defining asymptomatic TB and we recommend the W4SS of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any duration.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 2026 The Author(s). Tropical Medicine &amp; International Health published by John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Wiley &amp; Sons Ltd.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DOI: 10.1111/tmi.70206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PMID: 42521414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5240E6" w:rsidRDefault="00EF53A4" w:rsidP="00465EB7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35</w:t>
      </w:r>
      <w:r w:rsidR="00465EB7" w:rsidRPr="005240E6">
        <w:rPr>
          <w:rFonts w:ascii="宋体" w:eastAsia="宋体" w:hAnsi="宋体" w:cs="宋体"/>
          <w:b/>
          <w:color w:val="FF0000"/>
          <w:szCs w:val="24"/>
        </w:rPr>
        <w:t xml:space="preserve">. J Glob Antimicrob Resist. 2026 Jul 28:S2213-7165(26)00126-8. doi: </w:t>
      </w:r>
    </w:p>
    <w:p w:rsidR="00465EB7" w:rsidRPr="005240E6" w:rsidRDefault="00465EB7" w:rsidP="00465EB7">
      <w:pPr>
        <w:rPr>
          <w:rFonts w:ascii="宋体" w:eastAsia="宋体" w:hAnsi="宋体" w:cs="宋体"/>
          <w:b/>
          <w:color w:val="FF0000"/>
          <w:szCs w:val="24"/>
        </w:rPr>
      </w:pPr>
      <w:r w:rsidRPr="005240E6">
        <w:rPr>
          <w:rFonts w:ascii="宋体" w:eastAsia="宋体" w:hAnsi="宋体" w:cs="宋体"/>
          <w:b/>
          <w:color w:val="FF0000"/>
          <w:szCs w:val="24"/>
        </w:rPr>
        <w:t>10.1016/j.jgar.2026.07.015. Online ahead of print.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Discordant Rifampicin Resistance Results in Repeat Xpert MTB/RIF Testing: Risk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Factors and Diagnostic Challenges Among Drug-Resistant Tuberculosis Patients in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Bangladesh.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Uddin MKM(1), Nasrin R(1), Ferdous J(1), Bhuiyan OF(1), Rahman T(1), Islam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MS(1), Barua S(1), Islam MS(1), Ahammed MS(1), Fuad MMR(1), Begum FA(1), Rahman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SMM(1), Ahmed S(1), Maug AKJ(1), Banu S(2).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(1)Infectious Diseases Division, icddr,b, 68, Shaheed Tajuddin Ahmed Sarani,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lastRenderedPageBreak/>
        <w:t>Dhaka 1212, Bangladesh.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(2)Infectious Diseases Division, icddr,b, 68, Shaheed Tajuddin Ahmed Sarani,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Dhaka 1212, Bangladesh. Electronic address: sbanu@icddrb.org.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8C49CA">
        <w:rPr>
          <w:rFonts w:ascii="宋体" w:eastAsia="宋体" w:hAnsi="宋体" w:cs="宋体"/>
          <w:b/>
          <w:color w:val="000000" w:themeColor="text1"/>
          <w:szCs w:val="24"/>
        </w:rPr>
        <w:t>BACKGROUND: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 The Xpert MTB/RIF (Xpert) assay can detect Mycobacterium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tuberculosis complex (MTBC) and rifampicin resistance (RIF-R) with high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sensitivity. However, it can produce false RIF-R results, particularly in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samples with low and very low bacillary loads, leading to inappropriate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treatment.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8C49CA">
        <w:rPr>
          <w:rFonts w:ascii="宋体" w:eastAsia="宋体" w:hAnsi="宋体" w:cs="宋体"/>
          <w:b/>
          <w:color w:val="000000" w:themeColor="text1"/>
          <w:szCs w:val="24"/>
        </w:rPr>
        <w:t xml:space="preserve">METHODS: 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This study investigated discrepancies in RIF-R results detected by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Xpert. Between July 2022 and September 2023, a total of 1531 Xpert-detected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RIF-R TB patients were enrolled from 10 programmatic management of DR-TB sites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in Bangladesh. Fresh sputum samples were collected for re-testing with Xpert,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phenotypic drug susceptibility testing (pDST), line probe assay (LPA), and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targeted next-generation sequencing (tNGS) to confirm rifampicin susceptibility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status.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8C49CA">
        <w:rPr>
          <w:rFonts w:ascii="宋体" w:eastAsia="宋体" w:hAnsi="宋体" w:cs="宋体"/>
          <w:b/>
          <w:color w:val="000000" w:themeColor="text1"/>
          <w:szCs w:val="24"/>
        </w:rPr>
        <w:t>RESULTS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: Upon repeat Xpert testing, out of 1531 initially diagnosed RIF-R cases,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593 (38.7%) were RIF-R, 327 (21.4%) were RIF-S, 21 (1.4%) were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RIF-indeterminate, and 590 (38.5%) were MTB not detected. The RIF-S (false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RIF-R) results were most common in cases with low (20.0%) and very low (27.3%)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bacterial burden samples. In RIF-S cases, pDST, LPA, and tNGS showed concordance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rates of 98.0%, 97.4%, and 96.0%, respectively, compared to repeat Xpert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results.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8C49CA">
        <w:rPr>
          <w:rFonts w:ascii="宋体" w:eastAsia="宋体" w:hAnsi="宋体" w:cs="宋体"/>
          <w:b/>
          <w:color w:val="000000" w:themeColor="text1"/>
          <w:szCs w:val="24"/>
        </w:rPr>
        <w:t>CONCLUSIONS: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 Newly diagnosed patients and those with low or very low bacillary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burden were found to be more likely to report false RIF-R. The diagnostic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algorithm requires review for cases diagnosed with RIF-R, particularly with low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bacterial burden or no previous TB history. RIF-R status should be confirmed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with repeat testing or additional DST methods, and the newer Xpert Ultra, which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is more specific for determining RIF-R status, should be considered.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Copyright © 2026. Published by Elsevier Ltd.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DOI: 10.1016/j.jgar.2026.07.015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PMID: 42521080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8C49CA" w:rsidRDefault="00EF53A4" w:rsidP="00465EB7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36</w:t>
      </w:r>
      <w:r w:rsidR="00465EB7" w:rsidRPr="008C49CA">
        <w:rPr>
          <w:rFonts w:ascii="宋体" w:eastAsia="宋体" w:hAnsi="宋体" w:cs="宋体"/>
          <w:b/>
          <w:color w:val="FF0000"/>
          <w:szCs w:val="24"/>
        </w:rPr>
        <w:t xml:space="preserve">. Lancet Glob Health. 2026 Jul 28:103988. doi: 10.1016/j.langlo.2026.103988. </w:t>
      </w:r>
    </w:p>
    <w:p w:rsidR="00465EB7" w:rsidRPr="008C49CA" w:rsidRDefault="00465EB7" w:rsidP="00465EB7">
      <w:pPr>
        <w:rPr>
          <w:rFonts w:ascii="宋体" w:eastAsia="宋体" w:hAnsi="宋体" w:cs="宋体"/>
          <w:b/>
          <w:color w:val="FF0000"/>
          <w:szCs w:val="24"/>
        </w:rPr>
      </w:pPr>
      <w:r w:rsidRPr="008C49CA">
        <w:rPr>
          <w:rFonts w:ascii="宋体" w:eastAsia="宋体" w:hAnsi="宋体" w:cs="宋体"/>
          <w:b/>
          <w:color w:val="FF0000"/>
          <w:szCs w:val="24"/>
        </w:rPr>
        <w:t>Online ahead of print.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In-home tongue swab testing for tuberculosis screening among household contacts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in South Africa: a prospective cohort study.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Medina-Marino A(1), Olifant S(2), Pieruccini M(3), Fiphaza K(4), Ngcelwane N(5),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Ruhwald M(6), Penn-Nicholson A(6), Fourie B(2).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lastRenderedPageBreak/>
        <w:t>Author information: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(1)DSI-NRF Centre of Excellence for Biomedical Tuberculosis Research, Centre for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Tuberculosis Research, Division of Molecular Biology and Human Genetics, Faculty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of Medicine and Health Sciences, Stellenbosch University, Cape Town, South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Africa; Perelman School of Medicine, University of Pennsylvania, Philadelphia,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PA, USA. Electronic address: amedina@sun.ac.za.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(2)Department of Medical Microbiology, Faculty of Health Sciences, University of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Pretoria, Pretoria, South Africa.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(3)School of Public Health, Brown University, Providence, RI, USA.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(4)Research Unit, Foundation for Professional Development, KuGompo City, South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Africa.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(5)Buffalo City Metro Health District, Eastern Cape Provincial Department of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Health, Bisho, South Africa.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(6)FIND, Geneva, Switzerland.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8C49CA">
        <w:rPr>
          <w:rFonts w:ascii="宋体" w:eastAsia="宋体" w:hAnsi="宋体" w:cs="宋体"/>
          <w:b/>
          <w:color w:val="000000" w:themeColor="text1"/>
          <w:szCs w:val="24"/>
        </w:rPr>
        <w:t xml:space="preserve">BACKGROUND: 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Household contact investigation for tuberculosis is limited by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reliance on clinic-based testing and sputum-dependent diagnostics. To inform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household-level screening strategies, we estimated the diagnostic accuracy of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in-home molecular testing using tongue swabs compared with sputum, and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quantified linkage to care among household contacts with confirmed tuberculosis.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8C49CA">
        <w:rPr>
          <w:rFonts w:ascii="宋体" w:eastAsia="宋体" w:hAnsi="宋体" w:cs="宋体"/>
          <w:b/>
          <w:color w:val="000000" w:themeColor="text1"/>
          <w:szCs w:val="24"/>
        </w:rPr>
        <w:t xml:space="preserve">METHODS: 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We conducted a prospective cohort study at 26 government health clinics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in South Africa. We recruited index patients with drug-sensitive pulmonary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tuberculosis and their household contacts. Participants aged 18 years or older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and not on tuberculosis treatment within the past 6 months were eligible.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Household contacts provided tongue swabs and, where possible, sputum specimens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during household visits. Xpert MTB/RIF Ultra on GeneXpert Omni or Edge devices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were used. Tongue swabs were tested individually or in pools of up to three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participants, whereas sputa were tested individually. The primary outcome was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the estimated diagnostic accuracy (ie, sensitivity and specificity) of tongue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swab testing compared with sputum using paired results, irrespective of pooling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strategy. Secondary outcomes included performance of pooled tongue swab testing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as a household-level screening strategy (defined by conditional detection of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tuberculosis by pool size and the residual probability of underlying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tuberculosis following a negative pooled result) and linkage to care (defined as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the proportion of individuals with a positive sputum result presenting for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clinic-based tuberculosis services and their time-to-clinic presentation).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8C49CA">
        <w:rPr>
          <w:rFonts w:ascii="宋体" w:eastAsia="宋体" w:hAnsi="宋体" w:cs="宋体"/>
          <w:b/>
          <w:color w:val="000000" w:themeColor="text1"/>
          <w:szCs w:val="24"/>
        </w:rPr>
        <w:t>FINDINGS: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 Between June 15, 2021, and Oct 29, 2024, 438 households and 909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household contacts were enrolled. The median age of household contacts was 39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years (IQR 28-55), 570 (62·7%) of 909 were female </w:t>
      </w:r>
      <w:r w:rsidR="008C49CA">
        <w:rPr>
          <w:rFonts w:ascii="宋体" w:eastAsia="宋体" w:hAnsi="宋体" w:cs="宋体"/>
          <w:color w:val="000000" w:themeColor="text1"/>
          <w:szCs w:val="24"/>
        </w:rPr>
        <w:t xml:space="preserve">and 338 (37·2%) were male, 377 </w:t>
      </w:r>
      <w:r w:rsidRPr="00465EB7">
        <w:rPr>
          <w:rFonts w:ascii="宋体" w:eastAsia="宋体" w:hAnsi="宋体" w:cs="宋体"/>
          <w:color w:val="000000" w:themeColor="text1"/>
          <w:szCs w:val="24"/>
        </w:rPr>
        <w:t>(41·5%) were symptomatic, 132 (14·5%) reported living with H</w:t>
      </w:r>
      <w:r w:rsidR="008C49CA">
        <w:rPr>
          <w:rFonts w:ascii="宋体" w:eastAsia="宋体" w:hAnsi="宋体" w:cs="宋体"/>
          <w:color w:val="000000" w:themeColor="text1"/>
          <w:szCs w:val="24"/>
        </w:rPr>
        <w:t xml:space="preserve">IV, and 207 (22·8%) </w:t>
      </w:r>
      <w:r w:rsidRPr="00465EB7">
        <w:rPr>
          <w:rFonts w:ascii="宋体" w:eastAsia="宋体" w:hAnsi="宋体" w:cs="宋体"/>
          <w:color w:val="000000" w:themeColor="text1"/>
          <w:szCs w:val="24"/>
        </w:rPr>
        <w:t>had a previous history of tuberculosis. Tongu</w:t>
      </w:r>
      <w:r w:rsidR="008C49CA">
        <w:rPr>
          <w:rFonts w:ascii="宋体" w:eastAsia="宋体" w:hAnsi="宋体" w:cs="宋体"/>
          <w:color w:val="000000" w:themeColor="text1"/>
          <w:szCs w:val="24"/>
        </w:rPr>
        <w:t xml:space="preserve">e swabs were obtained from 901 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(99·1%) of 909 household contacts, whereas 292 (32·1%) produced sputum. Among 203 paired tongue swab-sputum results, sensitivity of tongue swab testing </w:t>
      </w:r>
      <w:r w:rsidR="008C49CA">
        <w:rPr>
          <w:rFonts w:ascii="宋体" w:eastAsia="宋体" w:hAnsi="宋体" w:cs="宋体"/>
          <w:color w:val="000000" w:themeColor="text1"/>
          <w:szCs w:val="24"/>
        </w:rPr>
        <w:t xml:space="preserve">was 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61·9% (95% CI 38·4-81·9) and specificity was 100% </w:t>
      </w:r>
      <w:r w:rsidR="008C49CA">
        <w:rPr>
          <w:rFonts w:ascii="宋体" w:eastAsia="宋体" w:hAnsi="宋体" w:cs="宋体"/>
          <w:color w:val="000000" w:themeColor="text1"/>
          <w:szCs w:val="24"/>
        </w:rPr>
        <w:t xml:space="preserve">(98·9-100). Among </w:t>
      </w:r>
      <w:r w:rsidR="008C49CA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individually 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tested tongue swabs paired with sputum results </w:t>
      </w:r>
      <w:r w:rsidR="008C49CA">
        <w:rPr>
          <w:rFonts w:ascii="宋体" w:eastAsia="宋体" w:hAnsi="宋体" w:cs="宋体"/>
          <w:color w:val="000000" w:themeColor="text1"/>
          <w:szCs w:val="24"/>
        </w:rPr>
        <w:t xml:space="preserve">(58 paired tests), sensitivity </w:t>
      </w:r>
      <w:r w:rsidRPr="00465EB7">
        <w:rPr>
          <w:rFonts w:ascii="宋体" w:eastAsia="宋体" w:hAnsi="宋体" w:cs="宋体"/>
          <w:color w:val="000000" w:themeColor="text1"/>
          <w:szCs w:val="24"/>
        </w:rPr>
        <w:t>was 100% (95% CI 47·8-100) and specificity was</w:t>
      </w:r>
      <w:r w:rsidR="008C49CA">
        <w:rPr>
          <w:rFonts w:ascii="宋体" w:eastAsia="宋体" w:hAnsi="宋体" w:cs="宋体"/>
          <w:color w:val="000000" w:themeColor="text1"/>
          <w:szCs w:val="24"/>
        </w:rPr>
        <w:t xml:space="preserve"> 100% (93·3-100). Among pooled </w:t>
      </w:r>
      <w:r w:rsidRPr="00465EB7">
        <w:rPr>
          <w:rFonts w:ascii="宋体" w:eastAsia="宋体" w:hAnsi="宋体" w:cs="宋体"/>
          <w:color w:val="000000" w:themeColor="text1"/>
          <w:szCs w:val="24"/>
        </w:rPr>
        <w:t>tests in which at least one contributing partici</w:t>
      </w:r>
      <w:r w:rsidR="008C49CA">
        <w:rPr>
          <w:rFonts w:ascii="宋体" w:eastAsia="宋体" w:hAnsi="宋体" w:cs="宋体"/>
          <w:color w:val="000000" w:themeColor="text1"/>
          <w:szCs w:val="24"/>
        </w:rPr>
        <w:t xml:space="preserve">pant was sputum-positive, five </w:t>
      </w:r>
      <w:r w:rsidRPr="00465EB7">
        <w:rPr>
          <w:rFonts w:ascii="宋体" w:eastAsia="宋体" w:hAnsi="宋体" w:cs="宋体"/>
          <w:color w:val="000000" w:themeColor="text1"/>
          <w:szCs w:val="24"/>
        </w:rPr>
        <w:t>(55·6%) of nine for two-swab pools and three (</w:t>
      </w:r>
      <w:r w:rsidR="008C49CA">
        <w:rPr>
          <w:rFonts w:ascii="宋体" w:eastAsia="宋体" w:hAnsi="宋体" w:cs="宋体"/>
          <w:color w:val="000000" w:themeColor="text1"/>
          <w:szCs w:val="24"/>
        </w:rPr>
        <w:t xml:space="preserve">42·9%) of seven for three-swab </w:t>
      </w:r>
      <w:r w:rsidRPr="00465EB7">
        <w:rPr>
          <w:rFonts w:ascii="宋体" w:eastAsia="宋体" w:hAnsi="宋体" w:cs="宋体"/>
          <w:color w:val="000000" w:themeColor="text1"/>
          <w:szCs w:val="24"/>
        </w:rPr>
        <w:t>pools tested positive. Among pooled tests with a</w:t>
      </w:r>
      <w:r w:rsidR="008C49CA">
        <w:rPr>
          <w:rFonts w:ascii="宋体" w:eastAsia="宋体" w:hAnsi="宋体" w:cs="宋体"/>
          <w:color w:val="000000" w:themeColor="text1"/>
          <w:szCs w:val="24"/>
        </w:rPr>
        <w:t xml:space="preserve"> negative result, the residual 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probability of an underlying sputum-positive </w:t>
      </w:r>
      <w:r w:rsidR="008C49CA">
        <w:rPr>
          <w:rFonts w:ascii="宋体" w:eastAsia="宋体" w:hAnsi="宋体" w:cs="宋体"/>
          <w:color w:val="000000" w:themeColor="text1"/>
          <w:szCs w:val="24"/>
        </w:rPr>
        <w:t xml:space="preserve">case was four (4·4%) of 91 for </w:t>
      </w:r>
      <w:r w:rsidRPr="00465EB7">
        <w:rPr>
          <w:rFonts w:ascii="宋体" w:eastAsia="宋体" w:hAnsi="宋体" w:cs="宋体"/>
          <w:color w:val="000000" w:themeColor="text1"/>
          <w:szCs w:val="24"/>
        </w:rPr>
        <w:t>two-swab pools and four (9·5%) of 42 for th</w:t>
      </w:r>
      <w:r w:rsidR="008C49CA">
        <w:rPr>
          <w:rFonts w:ascii="宋体" w:eastAsia="宋体" w:hAnsi="宋体" w:cs="宋体"/>
          <w:color w:val="000000" w:themeColor="text1"/>
          <w:szCs w:val="24"/>
        </w:rPr>
        <w:t xml:space="preserve">ree-swab pools. Sputum testing </w:t>
      </w:r>
      <w:r w:rsidRPr="00465EB7">
        <w:rPr>
          <w:rFonts w:ascii="宋体" w:eastAsia="宋体" w:hAnsi="宋体" w:cs="宋体"/>
          <w:color w:val="000000" w:themeColor="text1"/>
          <w:szCs w:val="24"/>
        </w:rPr>
        <w:t>identified 29 (3·2%) of 909 household contacts wit</w:t>
      </w:r>
      <w:r w:rsidR="008C49CA">
        <w:rPr>
          <w:rFonts w:ascii="宋体" w:eastAsia="宋体" w:hAnsi="宋体" w:cs="宋体"/>
          <w:color w:val="000000" w:themeColor="text1"/>
          <w:szCs w:val="24"/>
        </w:rPr>
        <w:t xml:space="preserve">h tuberculosis (all previously </w:t>
      </w:r>
      <w:r w:rsidRPr="00465EB7">
        <w:rPr>
          <w:rFonts w:ascii="宋体" w:eastAsia="宋体" w:hAnsi="宋体" w:cs="宋体"/>
          <w:color w:val="000000" w:themeColor="text1"/>
          <w:szCs w:val="24"/>
        </w:rPr>
        <w:t>undiagnosed). Following referral, 25 (86·2%) of 29 presen</w:t>
      </w:r>
      <w:r w:rsidR="008C49CA">
        <w:rPr>
          <w:rFonts w:ascii="宋体" w:eastAsia="宋体" w:hAnsi="宋体" w:cs="宋体"/>
          <w:color w:val="000000" w:themeColor="text1"/>
          <w:szCs w:val="24"/>
        </w:rPr>
        <w:t xml:space="preserve">ted for clinic-based </w:t>
      </w:r>
      <w:r w:rsidRPr="00465EB7">
        <w:rPr>
          <w:rFonts w:ascii="宋体" w:eastAsia="宋体" w:hAnsi="宋体" w:cs="宋体"/>
          <w:color w:val="000000" w:themeColor="text1"/>
          <w:szCs w:val="24"/>
        </w:rPr>
        <w:t>care within a median of 1 day (IQR 1-2).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8C49CA">
        <w:rPr>
          <w:rFonts w:ascii="宋体" w:eastAsia="宋体" w:hAnsi="宋体" w:cs="宋体"/>
          <w:b/>
          <w:color w:val="000000" w:themeColor="text1"/>
          <w:szCs w:val="24"/>
        </w:rPr>
        <w:t>INTERPRETATION: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 In-home molecular testing using tongue swabs enabled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near-universal specimen collection and microbiological testing among household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contacts. When implemented as a pooled, household-level screening approach,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tongue swab testing identified tuberculosis among contacts unable to produce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sputum and reduced the need for universal individual testing. However, pooling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was associated with a measurable residual risk of missed disease following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negative pooled results. These findings indicate that efficiency gains from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pooled tongue swab testing must be balanced against the residual risk of missed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cases.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FUNDING: US National Institutes of Health, Australian Department of Foreign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Affairs and Trade, and the UK Foreign, Commonwealth and Development Office.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Copyright © 2026 The Author(s). Published by Elsevier Ltd.. All rights reserved.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DOI: 10.1016/j.langlo.2026.103988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PMID: 42520827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8C49CA" w:rsidRDefault="00EF53A4" w:rsidP="00465EB7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37</w:t>
      </w:r>
      <w:r w:rsidR="00465EB7" w:rsidRPr="008C49CA">
        <w:rPr>
          <w:rFonts w:ascii="宋体" w:eastAsia="宋体" w:hAnsi="宋体" w:cs="宋体"/>
          <w:b/>
          <w:color w:val="FF0000"/>
          <w:szCs w:val="24"/>
        </w:rPr>
        <w:t>. J Pediatr Nurs. 2026 Jul 28;90:742-756. doi: 10.1</w:t>
      </w:r>
      <w:r w:rsidR="008C49CA" w:rsidRPr="008C49CA">
        <w:rPr>
          <w:rFonts w:ascii="宋体" w:eastAsia="宋体" w:hAnsi="宋体" w:cs="宋体"/>
          <w:b/>
          <w:color w:val="FF0000"/>
          <w:szCs w:val="24"/>
        </w:rPr>
        <w:t xml:space="preserve">016/j.pedn.2026.07.038. Online </w:t>
      </w:r>
      <w:r w:rsidR="00465EB7" w:rsidRPr="008C49CA">
        <w:rPr>
          <w:rFonts w:ascii="宋体" w:eastAsia="宋体" w:hAnsi="宋体" w:cs="宋体"/>
          <w:b/>
          <w:color w:val="FF0000"/>
          <w:szCs w:val="24"/>
        </w:rPr>
        <w:t>ahead of print.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Nurses' roles in facilitating parental involvement in pediatric tuberculosis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care: A scoping review.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Rhamelani P(1), Rakhmawati W(2), Fitri SYR(3), Mujar NMM(4), Pramukti I(5).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(1)Master of Nursing Program, Faculty of Nursing, Universitas Padjadjaran,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Sumedang, West Java, Indonesia. Electronic address: putri19016@mail.unpad.ac.id.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(2)Department of Pediatric Nursing, Faculty of Nursing, Universitas Padjadjaran,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Sumedang, West Java, Indonesia. Electronic address: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windy.rakhmawati@unpad.ac.id.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(3)Department of Pediatric Nursing, Faculty of Nursing, Universitas Padjadjaran,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Sumedang, West Java, Indonesia. Electronic address: siti.yuyun@unpad.ac.id.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(4)Department of Community Health, Pusat Kanser Tun Abdullah Ahmad Badawi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(PKTAAB), Universiti Sains Malaysia, Kepala Batas, Penang, Malaysia. Electronic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address: masturamujar@usm.my.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(5)Department of Community Nursing, Faculty of Nursing, Universitas Padjadjaran,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Sumedang, West Java, Indonesia. Electronic address: iqbal.pramukti@unpad.ac.id.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8C49CA">
        <w:rPr>
          <w:rFonts w:ascii="宋体" w:eastAsia="宋体" w:hAnsi="宋体" w:cs="宋体"/>
          <w:b/>
          <w:color w:val="000000" w:themeColor="text1"/>
          <w:szCs w:val="24"/>
        </w:rPr>
        <w:t xml:space="preserve">PURPOSE: 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Active parental involvement is essential in pediatric tuberculosis (TB)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care to prevent drug-resistant tuberculosis (DR-TB), yet parental involvement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remains suboptimal due to various challenges. Nurses play a strategic role in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facilitating parental involvement during pediatric TB care. This review aimed to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describe and map nurses' roles in facilitating parental involvement during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pediatric TB care.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8C49CA">
        <w:rPr>
          <w:rFonts w:ascii="宋体" w:eastAsia="宋体" w:hAnsi="宋体" w:cs="宋体"/>
          <w:b/>
          <w:color w:val="000000" w:themeColor="text1"/>
          <w:szCs w:val="24"/>
        </w:rPr>
        <w:t>DESIGN AND METHODS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: A scoping review was conducted following the Joanna Briggs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Institute (JBI) methodology and Preferred Reporting Items for Systematic Reviews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and Meta-Analyses Extension for Scoping Reviews (PRISMA-ScR) guidelines.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Literature was searched in PubMed, MEDLINE Ultimate via EBSCOhost, Scopus,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ScienceDirect, and Sage Journals. Eligible studies included English-language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original research articles published between 2010 and 2025 that examined nurses'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roles in facilitating parental involvement in pediatric TB care.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8C49CA">
        <w:rPr>
          <w:rFonts w:ascii="宋体" w:eastAsia="宋体" w:hAnsi="宋体" w:cs="宋体"/>
          <w:b/>
          <w:color w:val="000000" w:themeColor="text1"/>
          <w:szCs w:val="24"/>
        </w:rPr>
        <w:t xml:space="preserve">RESULTS: 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Twelve relevant articles were included in the review. Nurses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facilitated parental involvement through six main roles: educator and coach,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communicator, facilitator and coordinator, patient and family advocate,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counselor, and evaluator. The implementation of these roles was influenced by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various barriers and facilitators.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8C49CA">
        <w:rPr>
          <w:rFonts w:ascii="宋体" w:eastAsia="宋体" w:hAnsi="宋体" w:cs="宋体"/>
          <w:b/>
          <w:color w:val="000000" w:themeColor="text1"/>
          <w:szCs w:val="24"/>
        </w:rPr>
        <w:t>CONCLUSION: T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he nurse plays a crucial role in facilitating parental involvement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during pediatric TB care and supporting DR-TB prevention.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8C49CA">
        <w:rPr>
          <w:rFonts w:ascii="宋体" w:eastAsia="宋体" w:hAnsi="宋体" w:cs="宋体"/>
          <w:b/>
          <w:color w:val="000000" w:themeColor="text1"/>
          <w:szCs w:val="24"/>
        </w:rPr>
        <w:t>PRACTICE IMPLICATIONS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: These findings provide a practice-oriented framework to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guide nursing interventions, workforce training, and policy development aimed at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strengthening family-centered pediatric TB care, parental involvement, and DR-TB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prevention.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Copyright © 2026 Elsevier Inc. All rights reserved.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DOI: 10.1016/j.pedn.2026.07.038</w:t>
      </w:r>
    </w:p>
    <w:p w:rsidR="00465EB7" w:rsidRPr="00465EB7" w:rsidRDefault="008C49CA" w:rsidP="008C49CA">
      <w:pPr>
        <w:rPr>
          <w:rFonts w:ascii="宋体" w:eastAsia="宋体" w:hAnsi="宋体" w:cs="宋体" w:hint="eastAsia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t>PMID: 42520539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8C49CA" w:rsidRDefault="00EF53A4" w:rsidP="00465EB7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38</w:t>
      </w:r>
      <w:r w:rsidR="00465EB7" w:rsidRPr="008C49CA">
        <w:rPr>
          <w:rFonts w:ascii="宋体" w:eastAsia="宋体" w:hAnsi="宋体" w:cs="宋体"/>
          <w:b/>
          <w:color w:val="FF0000"/>
          <w:szCs w:val="24"/>
        </w:rPr>
        <w:t>. Ann Afr Med. 2026 Jul 29. doi: 10.4103/aam.aam_378_26. Online ahead of print.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Extrapulmonary Tuberculosis with Seminal Vesicle Involvement in an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Immunocompetent Patient.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[Article in English, French; Abstract available in French from the publisher]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Bayya PL(1), Singh M, Ramakrishnan SR, Chittemsetti S.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lastRenderedPageBreak/>
        <w:t>Author information: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(1)Department of Internal Medicine, Sri Ramachandra Institute of Higher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Education and Research, Chennai, Tamil Nadu, India.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Extrapulmonary tuberculosis often presents diagnostic challenges due to its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involvement in multiple organ systems. We report a case of a 54-year-old,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immunocompetent man who presented with prolonged fever and a generalized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seizure. Neuroimaging revealed ring-enhancing lesions suggestive of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tuberculomas. Further evaluation demonstrated a seminal vesicle abscess and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cervical lymphadenitis. Histopathology and microbiological analysis confirmed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Tuberculosis. The patient was initiated on antitubercular therapy, along with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anti-convulsants and steroids. This case highlights the importance of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considering EPTB in patients with sterile pyuria, neurological symptoms, even in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immunocompetent individuals without a pulmonary disease.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Copyright © 2026 Annals of African Medicine.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DOI: 10.4103/aam.aam_378_26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PMID: 42519902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8C49CA" w:rsidRDefault="00EF53A4" w:rsidP="00465EB7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39</w:t>
      </w:r>
      <w:r w:rsidR="00465EB7" w:rsidRPr="008C49CA">
        <w:rPr>
          <w:rFonts w:ascii="宋体" w:eastAsia="宋体" w:hAnsi="宋体" w:cs="宋体"/>
          <w:b/>
          <w:color w:val="FF0000"/>
          <w:szCs w:val="24"/>
        </w:rPr>
        <w:t xml:space="preserve">. Lancet Reg Health Southeast Asia. 2026 Jul 13;51:100808. doi: </w:t>
      </w:r>
    </w:p>
    <w:p w:rsidR="00465EB7" w:rsidRPr="008C49CA" w:rsidRDefault="00465EB7" w:rsidP="00465EB7">
      <w:pPr>
        <w:rPr>
          <w:rFonts w:ascii="宋体" w:eastAsia="宋体" w:hAnsi="宋体" w:cs="宋体"/>
          <w:b/>
          <w:color w:val="FF0000"/>
          <w:szCs w:val="24"/>
        </w:rPr>
      </w:pPr>
      <w:r w:rsidRPr="008C49CA">
        <w:rPr>
          <w:rFonts w:ascii="宋体" w:eastAsia="宋体" w:hAnsi="宋体" w:cs="宋体"/>
          <w:b/>
          <w:color w:val="FF0000"/>
          <w:szCs w:val="24"/>
        </w:rPr>
        <w:t>10.1016/j.lansea.2026.100808. eCollection 2026 Aug.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Clinical characteristics of nontuberculous mycobacterial infections among people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with presumptive tuberculosis in India: a multicenter study (2021-2025).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Sharma SK(1)(2), Upadhyay V(1)(3), Mohan A(4), Dewan RK(5), Solanki R(6), Chopra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KK(7), Ghewade B(8), Behera D(9), Pandey RM(10), Verma AK(11), Ranjan A(12),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Yadav RN(11), Dwivedi KK(7), Patel P(13), Jayaprada R(14), Sharma K(15),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Bhanushali J(8), Prajapati D(6), Hanif M(7), Patel M(13), Singh M(16), Hasnain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SE(3)(17).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(1)Department of Molecular Medicine, Jamia Hamdard (Deemed to be University),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New Delhi, India.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(2)Faculty of Medicine, Datta Meghe Institute of Higher Education &amp; Research,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(Deemed to be University), Wardha, Maharashtra, India.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(3)Department of Life Science, Sharda University, Greater Noida, Uttar Pradesh,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India.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(4)Department of Medicine, Sri Venkateswara Institute of Medical Sciences,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Tirupati, Andhra Pradesh, India.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(5)Department of Thoracic Surgery, National Institute of Tuberculosis and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Respiratory Diseases, New Delhi, India.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(6)Department of Pulmonary Medicine, BJ Medical College, Ahmedabad, Gujarat,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lastRenderedPageBreak/>
        <w:t>India.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(7)Intermediate Reference Laboratory, New Delhi TB Centre, New Delhi, India.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(8)Department of Respiratory Medicine, Jawaharlal Nehru Medical College, Datta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Meghe Institute of Higher Education &amp; Research (Deemed to be University),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Wardha, Maharashtra, India.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(9)Department of Pulmonary Medicine, Postgraduate Institute of Medical Education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and Research, Chandigarh, India.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(10)Former Professor, Department of Biostatistics, All India Institute of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Medical Sciences, New Delhi, India.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(11)Department of Microbiology, National Institute of Tuberculosis and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Respiratory Diseases, New Delhi, India.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(12)Department of Respiratory Critical Care, National Institute of Tuberculosis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and Respiratory Diseases, New Delhi, India.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(13)Intermediate Reference Laboratory, State TB Demonstration Centre, BJ Medical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College, Ahmedabad, Gujarat, India.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(14)Department of Microbiology, Sri Venkateswara Institute of Medical Sciences,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Tirupati, Andhra Pradesh, India.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(15)Department of Medical Microbiology, Postgraduate Institute of Medical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Education and Research, Chandigarh, India.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(16)Department of Delivery Research, Indian Council of Medical Research, New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Delhi, India.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(17)Department of Biochemical Engineering and Biotechnology, Indian Institute of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Technology, Delhi, India.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8C49CA">
        <w:rPr>
          <w:rFonts w:ascii="宋体" w:eastAsia="宋体" w:hAnsi="宋体" w:cs="宋体"/>
          <w:b/>
          <w:color w:val="000000" w:themeColor="text1"/>
          <w:szCs w:val="24"/>
        </w:rPr>
        <w:t xml:space="preserve">BACKGROUND: 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Disease caused by nontuberculous mycobacteria (NTM) is often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misdiagnosed as tuberculosis (TB) in India. Comprehensive studies on NTM are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lacking, therefore, the present study aimed to describe clinical features,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underlying conditions, species distribution, and treatment outcomes of NTM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disease among people with presumptive TB (individuals with symptoms suggestive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of TB) in India.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8C49CA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 This prospective study (2021-2025) was conducted across seven tertiary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care centres in India. People older than or equal to 12 years, irrespective of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their human immunodeficiency virus status, diagnosed with NTM disease were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included. Individuals with concurrent TB were excluded. Participants were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recruited consecutively from individuals with presumptive pulmonary TB (PTB) and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extrapulmonary TB at participating centres. Clinical, radiological, and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laboratory data were collected from study centres under supervision of dedicated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clinicians. Line probe assay (LPA) and Whole-genome sequencing (WGS) were used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for NTM diagnosis. Recent guideline-based treatment (GBT) was administered to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people diagnosed with NTM disease. Main outcomes of this study included clinical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and radiological characteristics, species distribution, and treatment outcomes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of NTM pulmonary disease (NTM-PD) and extrapulmonary NTM (EP-NTM) disease.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FINDINGS: Among 71,143 individuals with presumptive TB, 230 (0·32%) had NTM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disease (191 pulmonary and 39 extrapulmonary). In NTM-PD, common underlying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conditions included previous PTB (80·6%), malnutrition (47·1%), and vitamin 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deficiency (43·5%). M. avium complex (25·7%), M. </w:t>
      </w:r>
      <w:r w:rsidR="008C49CA">
        <w:rPr>
          <w:rFonts w:ascii="宋体" w:eastAsia="宋体" w:hAnsi="宋体" w:cs="宋体"/>
          <w:color w:val="000000" w:themeColor="text1"/>
          <w:szCs w:val="24"/>
        </w:rPr>
        <w:t xml:space="preserve">abscessus complex (24·3%), and </w:t>
      </w:r>
      <w:r w:rsidRPr="00465EB7">
        <w:rPr>
          <w:rFonts w:ascii="宋体" w:eastAsia="宋体" w:hAnsi="宋体" w:cs="宋体"/>
          <w:color w:val="000000" w:themeColor="text1"/>
          <w:szCs w:val="24"/>
        </w:rPr>
        <w:t>M. kansasii (20·9%) were the most frequently iso</w:t>
      </w:r>
      <w:r w:rsidR="008C49CA">
        <w:rPr>
          <w:rFonts w:ascii="宋体" w:eastAsia="宋体" w:hAnsi="宋体" w:cs="宋体"/>
          <w:color w:val="000000" w:themeColor="text1"/>
          <w:szCs w:val="24"/>
        </w:rPr>
        <w:t xml:space="preserve">lated NTM species. LPA and WGS </w:t>
      </w:r>
      <w:r w:rsidRPr="00465EB7">
        <w:rPr>
          <w:rFonts w:ascii="宋体" w:eastAsia="宋体" w:hAnsi="宋体" w:cs="宋体"/>
          <w:color w:val="000000" w:themeColor="text1"/>
          <w:szCs w:val="24"/>
        </w:rPr>
        <w:t>showed 97·6% concordance in diagnosing NTM. Of 15</w:t>
      </w:r>
      <w:r w:rsidR="008C49CA">
        <w:rPr>
          <w:rFonts w:ascii="宋体" w:eastAsia="宋体" w:hAnsi="宋体" w:cs="宋体"/>
          <w:color w:val="000000" w:themeColor="text1"/>
          <w:szCs w:val="24"/>
        </w:rPr>
        <w:t xml:space="preserve">5 individuals with NTM disease </w:t>
      </w:r>
      <w:r w:rsidRPr="00465EB7">
        <w:rPr>
          <w:rFonts w:ascii="宋体" w:eastAsia="宋体" w:hAnsi="宋体" w:cs="宋体"/>
          <w:color w:val="000000" w:themeColor="text1"/>
          <w:szCs w:val="24"/>
        </w:rPr>
        <w:t>with complete treatment details, 137 (88·4%) c</w:t>
      </w:r>
      <w:r w:rsidR="008C49CA">
        <w:rPr>
          <w:rFonts w:ascii="宋体" w:eastAsia="宋体" w:hAnsi="宋体" w:cs="宋体"/>
          <w:color w:val="000000" w:themeColor="text1"/>
          <w:szCs w:val="24"/>
        </w:rPr>
        <w:t xml:space="preserve">ompleted therapy; mean culture 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conversion time was 94·3 days for NTM-PD. Poor </w:t>
      </w:r>
      <w:r w:rsidR="008C49CA">
        <w:rPr>
          <w:rFonts w:ascii="宋体" w:eastAsia="宋体" w:hAnsi="宋体" w:cs="宋体"/>
          <w:color w:val="000000" w:themeColor="text1"/>
          <w:szCs w:val="24"/>
        </w:rPr>
        <w:t xml:space="preserve">treatment outcome (9 deaths, 9 </w:t>
      </w:r>
      <w:r w:rsidRPr="00465EB7">
        <w:rPr>
          <w:rFonts w:ascii="宋体" w:eastAsia="宋体" w:hAnsi="宋体" w:cs="宋体"/>
          <w:color w:val="000000" w:themeColor="text1"/>
          <w:szCs w:val="24"/>
        </w:rPr>
        <w:t>lost to follow-up) was noted in 18/155 (11·6%) treated individuals.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8C49CA">
        <w:rPr>
          <w:rFonts w:ascii="宋体" w:eastAsia="宋体" w:hAnsi="宋体" w:cs="宋体"/>
          <w:b/>
          <w:color w:val="000000" w:themeColor="text1"/>
          <w:szCs w:val="24"/>
        </w:rPr>
        <w:t>INTERPRETATION: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 NTM disease among people with presumptive TB is an emerging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public health problem in India. Integrating rapid molecular diagnostic tests for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early diagnosis and GBT into National Tuberculosis Programmes is essential to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improve outcomes by reducing diagnostic and treatment delays.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FUNDING: Indian Council of Medical Research.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 2026 The Author(s).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DOI: 10.1016/j.lansea.2026.100808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PMCID: PMC13382146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PMID: 42518920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3169E1" w:rsidRDefault="00EF53A4" w:rsidP="00465EB7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40</w:t>
      </w:r>
      <w:r w:rsidR="00465EB7" w:rsidRPr="003169E1">
        <w:rPr>
          <w:rFonts w:ascii="宋体" w:eastAsia="宋体" w:hAnsi="宋体" w:cs="宋体"/>
          <w:b/>
          <w:color w:val="FF0000"/>
          <w:szCs w:val="24"/>
        </w:rPr>
        <w:t>. Mol Biol Rep. 2026 Jul 28;53(1):1285. doi: 10.1007/s11033-026-12453-y.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Neutrophils and tuberculosis - insights into immunobiology and pathogenesis.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Raza M(#)(1), Kak G(#)(2)(3), Alla MR(4).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(1)Department of Biochemistry, University of Delhi South Campus, New Delhi,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110021, India.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(2)Dr. B. R. Ambedkar Center for Biomedical Sciences, 110007, Delhi, India.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gunjan.kak@unmc.edu.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(3)Department of Pathology and Microbiology, University of Nebraska Medical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Center, Omaha, NE, 68198, USA. gunjan.kak@unmc.edu.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(4)Department of Pathology and Microbiology, University of Nebraska Medical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Center, Omaha, NE, 68198, USA.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(#)Contributed equally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Neutrophils are the most abundant leukocytes in human blood and play a key role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in controlling infections. Their high circulating numbers allow rapid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recruitment to sites of infection or injury, where they phagocytose pathogens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and deploy a multitude of antimicrobial mechanisms. Neutrophil recruitment and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clearance regulate infection severity and modulate broader immune response by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influencing leukocyte populations. Over the past decade, research has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demonstrated that neutrophils are functionally heterogeneous and more complex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than previously appreciated with significant implications for immune regulation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at sites of infection. Functionally and phenotypically distinct neutrophil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subsets have been characterized across infectious, inflammatory and malignant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conditions. Numerous studies indicate that neutrophils exert context-dependent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protective or pathogenic effects highlighting their more nuanced role during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tuberculosis (TB) by conferring early protection but later promoting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inflammation, tissue pathology and enhanced bacterial dissemination. Consistent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with their protective role, neutrophils not only execute their intrinsic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effector functions, but also coordinate immune responses through chemokine and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cytokine signaling and potential crosstalk with other immune cells positioning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them as key contributors of TB disease progression and outcome. This review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summarizes the biology of neutrophil functions with a major emphasis on their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role in shaping immune responses during TB infection. We synthesize key findings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which highlight their dual, context-dependent function in disease progression.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Additionally, we discuss outstanding questions and explore how emerging research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in this field may inform strategies to mitigate TB-associated complications.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 2026. The Author(s), under exclusive licence to Springer Nature B.V.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DOI: 10.1007/s11033-026-12453-y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PMID: 42517976 [Indexed for MEDLINE]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3169E1" w:rsidRDefault="00EF53A4" w:rsidP="00465EB7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41</w:t>
      </w:r>
      <w:r w:rsidR="00465EB7" w:rsidRPr="003169E1">
        <w:rPr>
          <w:rFonts w:ascii="宋体" w:eastAsia="宋体" w:hAnsi="宋体" w:cs="宋体"/>
          <w:b/>
          <w:color w:val="FF0000"/>
          <w:szCs w:val="24"/>
        </w:rPr>
        <w:t>. Brain Behav. 2026 Aug;16(8):e71639. doi: 10.1002/brb3.71639.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Efficacy and Safety of Corticosteroids in Tuberculous Meningitis: Systematic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Review, Meta-Analysis, and Meta-Regression.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Younas A(1), Noor R(2), Shaukat MT(3), Ijlal A(4), Tariq I(5), Satea M(6), Almas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MS(1), Jamil R(7), Sherwani MRK(8), Valverde NNG(9), Qadri M(10), Siddiqi M(11),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Qureshi K(12), Yangi K(13), Chaurasia B(14).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(1)Department of Medicine, Allama Iqbal Medical College, Lahore, Pakistan.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(2)Department of Medicine, Khyber Medical College, Peshawar, Pakistan.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(3)Department of Medicine, King Edward Medical University, Lahore, Pakistan.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(4)Department of Physical Therapy, Jinnah Sindh Medical University, Karachi,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Pakistan.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(5)Department of Medicine, United Medical and Dental College, Karachi, Pakistan.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(6)Department of Surgery, College of Medicine, University of Warith Al-Anbiya,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Karbala, Iraq.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(7)Department of Medicine, Jefferson Abington Memorial Hospital, Pennsylvania,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USA.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(8)Department of Cardiology, Duke University Health, Durham, North Carolina,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USA.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(9)Department of Medicine, Universidad Peruana Cayetano Heredia, Lima, Peru.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lastRenderedPageBreak/>
        <w:t>(10)Department of Medicine, Jinnah Sindh Medical University, Karachi, Pakistan.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(11)Department of Medicine, Penn State Health Milton S. Hershey Medical Centre,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Hershey, Pennsylvania, USA.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(12)Department of Neurosurgery, Yale School of Medicine, New Haven, Connecticut,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USA.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(13)Department of Neurosurgery, Barrow Neurological Institute, Phoenix, Arizona,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USA.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(14)Department of Neurosurgery, Neurosurgery Clinic, Birgunj, Nepal.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3169E1">
        <w:rPr>
          <w:rFonts w:ascii="宋体" w:eastAsia="宋体" w:hAnsi="宋体" w:cs="宋体"/>
          <w:b/>
          <w:color w:val="000000" w:themeColor="text1"/>
          <w:szCs w:val="24"/>
        </w:rPr>
        <w:t xml:space="preserve">BACKGROUND: 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Tuberculous meningitis (TBM) carries a case fatality rate of up to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50% in resource-limited settings despite standard anti-tuberculosis therapy.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Adjunctive corticosteroids are widely recommended, yet their effect on mortality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and safety across diverse populations remains imprecisely defined.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3169E1">
        <w:rPr>
          <w:rFonts w:ascii="宋体" w:eastAsia="宋体" w:hAnsi="宋体" w:cs="宋体"/>
          <w:b/>
          <w:color w:val="000000" w:themeColor="text1"/>
          <w:szCs w:val="24"/>
        </w:rPr>
        <w:t>METHODS: W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e conducted a systematic review and meta-analysis of randomized and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quasi-randomized controlled trials identified through PubMed, Cochrane Library,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ClinicalTrials.gov, Scopus, and Google Scholar up to May 2025. The outcomes were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all-cause mortality, gastrointestinal bleeding, visual and auditory impairment,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hydrocephalus, and joint disorders. Statistical heterogeneity was assessed using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the I2 statistic. Certainty of evidence was assessed with the GRADE framework.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3169E1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 Eleven studies enrolling 1917 patients were included. Corticosteroids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significantly reduced all-cause mortality (RR = 0.84, 95% CI: 0.76-0.94, p =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0.002) with low heterogeneity (I2 = 0%). Subgroup analysis revealed pronounced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benefits in low-income countries (RR = 0.82, CI: 0.72-0.95) and dexamethasone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use (RR = 0.87, CI: 0.77-0.97). In HIV-positive patients, corticosteroids did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not significantly impact mortality (RR = 0.90, CI: 0.77-1.05, p = 0.18). No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statistically significant increase in adverse outcomes was detected, including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gastrointestinal bleeding (RR  =  0.87), visual impairment (RR  =  1.62),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auditory impairment (RR  =  0.79), hydrocephalus (RR  =  0.47), or joint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disorders (RR  =  0.63).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3169E1">
        <w:rPr>
          <w:rFonts w:ascii="宋体" w:eastAsia="宋体" w:hAnsi="宋体" w:cs="宋体"/>
          <w:b/>
          <w:color w:val="000000" w:themeColor="text1"/>
          <w:szCs w:val="24"/>
        </w:rPr>
        <w:t>CONCLUSION: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 Adjunctive corticosteroids, particularly dexamethasone,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significantly reduce mortality in TBM without increasing major adverse effects.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The absence of benefit in HIV-positive patients highlights the need for targeted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trials in this subgroup and in pediatric populations.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 2026 The Author(s). Brain and Behavior published by Wiley Periodicals LLC.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DOI: 10.1002/brb3.71639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PMCID: PMC13411294</w:t>
      </w:r>
    </w:p>
    <w:p w:rsidR="00465EB7" w:rsidRPr="00465EB7" w:rsidRDefault="00465EB7" w:rsidP="00465EB7">
      <w:pPr>
        <w:rPr>
          <w:rFonts w:ascii="宋体" w:eastAsia="宋体" w:hAnsi="宋体" w:cs="宋体" w:hint="eastAsia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PMID:</w:t>
      </w:r>
      <w:r w:rsidR="003169E1">
        <w:rPr>
          <w:rFonts w:ascii="宋体" w:eastAsia="宋体" w:hAnsi="宋体" w:cs="宋体"/>
          <w:color w:val="000000" w:themeColor="text1"/>
          <w:szCs w:val="24"/>
        </w:rPr>
        <w:t xml:space="preserve"> 42517870 [Indexed for MEDLINE]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3169E1" w:rsidRDefault="00EF53A4" w:rsidP="00465EB7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42</w:t>
      </w:r>
      <w:r w:rsidR="00465EB7" w:rsidRPr="003169E1">
        <w:rPr>
          <w:rFonts w:ascii="宋体" w:eastAsia="宋体" w:hAnsi="宋体" w:cs="宋体"/>
          <w:b/>
          <w:color w:val="FF0000"/>
          <w:szCs w:val="24"/>
        </w:rPr>
        <w:t>. Microbiol Spectr. 2026 Jul 28:e0200526. doi: 10.</w:t>
      </w:r>
      <w:r w:rsidR="003169E1">
        <w:rPr>
          <w:rFonts w:ascii="宋体" w:eastAsia="宋体" w:hAnsi="宋体" w:cs="宋体"/>
          <w:b/>
          <w:color w:val="FF0000"/>
          <w:szCs w:val="24"/>
        </w:rPr>
        <w:t xml:space="preserve">1128/spectrum.02005-26. Online </w:t>
      </w:r>
      <w:r w:rsidR="00465EB7" w:rsidRPr="003169E1">
        <w:rPr>
          <w:rFonts w:ascii="宋体" w:eastAsia="宋体" w:hAnsi="宋体" w:cs="宋体"/>
          <w:b/>
          <w:color w:val="FF0000"/>
          <w:szCs w:val="24"/>
        </w:rPr>
        <w:t>ahead of print.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No phenotypic resistance observed for most group-3 and -4 variants in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Mycobacterium tuberculosis genes related to bedaquiline, clofazimine, delamanid,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and pretomanid in a Central and West African context.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Massou F(1)(2)(3), Dewaele K(2), Gnamy A(1), Balde R(2), Mulders W(2), Mehan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CJ(2)(4), de Jong BC(2), Affolabi D(1), Tzfadia O(2), Rigouts L(2)(3).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(1)Supranational Reference Laboratory of Tuberculosis, Cotonou, Bénin.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(2)Mycobacteriology unit, Department of Biomedical Sciences, Institute of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Tropical Medicine, Antwerp, Belgium.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(3)Faculty of Pharmaceutical, Biomedical and Veterinary Sciences, University of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Antwerp, Antwerp, Belgium.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(4)Centre for Systems Health and Integrated Metabolic Research, Nottingham Trent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University, Nottingham, United Kingdom.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The interpretation of genetic variants' association (or not) with phenotypic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resistance to newly introduced and repurposed antituberculosis drugs remains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challenging, as many mutations detected by whole-genome sequencing (WGS) are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classified as of uncertain significance (group 3) or not associated with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resistance-interim (group 4) by the World Health Organization (WHO) mutation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catalog v2. We evaluated the phenotypic impact of such variants on minimum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inhibitory concentrations (MICs) for bedaquiline (BDQ), clofazimine (CFZ),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delamanid (DLM), and pretomanid (PA) in Mycobacterium tuberculosis complex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isolates from the multi-country DIAMA cohort in sub-Saharan Africa (SSA), which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recruited RR/RS-TB patients naïve to these drugs. Among 1,475 isolates with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available WGS data, 163 variants met eligibility criteria; due to viable strain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unavailability, 89 isolates carrying 29 unique BDQ/CFZ-related and 60 unique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DLM/PA-related variants were tested for MIC determination using broth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microdilution. Additional structural modeling was performed to explore potential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effects of amino-acid substitutions on protein stability. Among BDQ/CFZ-related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variants, MICs above the critical concentrations (CCs) were consistently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associated with mmpR5 variants, whereas variants in atpE, pepQ, and Rv1979c were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not. DLM/PA variants (ddn, fbiA-D, and fgd1) were frequently detected as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non-fixed populations, yet rarely yielding MIC values above the CC. Predicted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structural destabilization showed no consistent association with MIC values or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variant fixation status. Under the conditions tested, phenotypic resistance was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not detected for most group 3 and 4 variants detected by WGS. Our data provide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evidence from SSA to support improved interpretation of resistance-associated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mutations for new and repurposed antituberculosis drugs.IMPORTANCEWhole-genome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sequencing increasingly detects Mycobacterium tuberculosis complex mutations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classified by the World Health Organization (WHO) mutation catalog v2 as group 3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variants of uncertain significance or group 4 variants not associated with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resistance-interim, limiting reliable prediction of resistance to new and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repurposed antituberculosis drugs. By generating minimum inhibitory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concentration (MIC) data for such variants identified in a multi-country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sub-Saharan African cohort, this study provides phenotypic evidence to support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future refinement and expansion of the WHO mutation catalog v2. Notably, mmpR5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variants associated with elevated bedaquiline/clofazimine MICs were identified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in eight isolates, suggesting that some patients in this cohort may have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harbored pre-existing resistance-associated variants yet remained potentially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eligible for bedaquiline-containing regimens. These findings contribute to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improving the interpretation of genomic resistance data and strengthening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surveillance of resistance to bedaquiline, clofazimine, delamanid, and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pretomanid.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DOI: 10.1128/spectrum.02005-26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PMID: 42517628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3169E1" w:rsidRDefault="00EF53A4" w:rsidP="00465EB7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43</w:t>
      </w:r>
      <w:r w:rsidR="00465EB7" w:rsidRPr="003169E1">
        <w:rPr>
          <w:rFonts w:ascii="宋体" w:eastAsia="宋体" w:hAnsi="宋体" w:cs="宋体"/>
          <w:b/>
          <w:color w:val="FF0000"/>
          <w:szCs w:val="24"/>
        </w:rPr>
        <w:t xml:space="preserve">. Can J Infect Dis Med Microbiol. 2026 Jul 27;2026:5518992. doi: </w:t>
      </w:r>
    </w:p>
    <w:p w:rsidR="00465EB7" w:rsidRPr="003169E1" w:rsidRDefault="00465EB7" w:rsidP="00465EB7">
      <w:pPr>
        <w:rPr>
          <w:rFonts w:ascii="宋体" w:eastAsia="宋体" w:hAnsi="宋体" w:cs="宋体"/>
          <w:b/>
          <w:color w:val="FF0000"/>
          <w:szCs w:val="24"/>
        </w:rPr>
      </w:pPr>
      <w:r w:rsidRPr="003169E1">
        <w:rPr>
          <w:rFonts w:ascii="宋体" w:eastAsia="宋体" w:hAnsi="宋体" w:cs="宋体"/>
          <w:b/>
          <w:color w:val="FF0000"/>
          <w:szCs w:val="24"/>
        </w:rPr>
        <w:t>10.1155/cjid/5518992. eCollection 2026.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Rapid Extensively Drug-Resistant (XDR) TB Diagnosis: An In-House DNA Biochip for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Drug Resistance Detection and Mutation Profiling of Mycobacterium tuberculosis.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Jain B(1)(2), Kulkarni S(1)(2), Baghel NS(1).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(1)Radiation Medicine Centre, Bhabha Atomic Research Centre, Mumbai,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Maharashtra, India, barc.ernet.in.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(2)Homi Bhabha National Institute, Mumbai, Maharashtra, India, hbni.ac.in.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3169E1">
        <w:rPr>
          <w:rFonts w:ascii="宋体" w:eastAsia="宋体" w:hAnsi="宋体" w:cs="宋体"/>
          <w:b/>
          <w:color w:val="000000" w:themeColor="text1"/>
          <w:szCs w:val="24"/>
        </w:rPr>
        <w:t xml:space="preserve">BACKGROUND: 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Emergence of multidrug-resistant (MDR) and extensively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drug-resistant (XDR) Mycobacterium tuberculosis (M. tuberculosis) poses a major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public health threat, especially in high burden countries. Current diagnostic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modalities are slow, expensive, or inaccessible in low-resource setting. We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designed, fabricated, and validated an in-house DNA biochip capable of detecting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resistance-associated mutations in key M. tuberculosis genes linked to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resistance against first- (rifampicin and isoniazid) and second-line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(fluoroquinolones and second-line injectables) antituberculosis drugs.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3169E1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 The biochip allowed the detection of 20 drug resistance-determining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mutations in the rpoB, katG, inhA, gyrA, rrs, and eis genes in the M.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tuberculosis genome. Biochip consists of 33 probes spotted in duplicate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including probe for M. tuberculosis detection. The biochip assay is based on the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amplification of 7 fragments of the genome using two sets of multiplex PCRs. The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biochip assay was optimized, and enhanced chemiluminescence was used for signal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detection on biochip. Performance evaluation of the biochip was done using 175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clinical isolates. Culture-based drug susceptibility test (DST) was used as the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gold standard to compare biochip results, and sequencing was used to resolve the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lastRenderedPageBreak/>
        <w:t>discordance.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3169E1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 Out of 59 culture sensitive isolates, 53 were sensitive to all drugs by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biochip, while 6 isolates showed different mutations. The biochip showed high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concordance with culture DST. The diagnostic sensitivity of the biochip assay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for all the drugs ranged from 75% to 100%. The specificities of the biochip for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all the 7 drugs were over 97%. The developed biochip demonstrated analytical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sensitivity of 103 genome copies per assay and showed high reproducibility, with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intra-assay coefficient of variation (CV)</w:t>
      </w:r>
      <w:r w:rsidRPr="00465EB7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465EB7">
        <w:rPr>
          <w:rFonts w:ascii="宋体" w:eastAsia="宋体" w:hAnsi="宋体" w:cs="宋体"/>
          <w:color w:val="000000" w:themeColor="text1"/>
          <w:szCs w:val="24"/>
        </w:rPr>
        <w:t>&lt;</w:t>
      </w:r>
      <w:r w:rsidRPr="00465EB7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465EB7">
        <w:rPr>
          <w:rFonts w:ascii="宋体" w:eastAsia="宋体" w:hAnsi="宋体" w:cs="宋体"/>
          <w:color w:val="000000" w:themeColor="text1"/>
          <w:szCs w:val="24"/>
        </w:rPr>
        <w:t>10% and interassay CV &lt;</w:t>
      </w:r>
      <w:r w:rsidRPr="00465EB7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19% across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all probes on the biochip.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3169E1">
        <w:rPr>
          <w:rFonts w:ascii="宋体" w:eastAsia="宋体" w:hAnsi="宋体" w:cs="宋体"/>
          <w:b/>
          <w:color w:val="000000" w:themeColor="text1"/>
          <w:szCs w:val="24"/>
        </w:rPr>
        <w:t>CONCLUSIONS: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 The biochip enables simultaneous analysis of multiple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resistance-associated mutation in a single assay providing a powerful tool for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early detection, personalized therapy, and effective containment of both MDR and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XDR-TB. The biochip is useful for clinical microbiology studies and surveillance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programs.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Copyright © 2026 Bharti Jain et al. Canadian Journal of Infectious Diseases and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Medical Microbiology published by John Wiley &amp; Sons Ltd.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DOI: 10.1155/cjid/5518992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PMCID: PMC13402939</w:t>
      </w:r>
    </w:p>
    <w:p w:rsidR="00465EB7" w:rsidRPr="00465EB7" w:rsidRDefault="003169E1" w:rsidP="00465EB7">
      <w:pPr>
        <w:rPr>
          <w:rFonts w:ascii="宋体" w:eastAsia="宋体" w:hAnsi="宋体" w:cs="宋体" w:hint="eastAsia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t>PMID: 42516516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3169E1" w:rsidRDefault="00EF53A4" w:rsidP="00465EB7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44</w:t>
      </w:r>
      <w:r w:rsidR="00465EB7" w:rsidRPr="003169E1">
        <w:rPr>
          <w:rFonts w:ascii="宋体" w:eastAsia="宋体" w:hAnsi="宋体" w:cs="宋体"/>
          <w:b/>
          <w:color w:val="FF0000"/>
          <w:szCs w:val="24"/>
        </w:rPr>
        <w:t>. Bull World Health Organ. 2026 Aug 1;104(8):540-55</w:t>
      </w:r>
      <w:r w:rsidR="003169E1">
        <w:rPr>
          <w:rFonts w:ascii="宋体" w:eastAsia="宋体" w:hAnsi="宋体" w:cs="宋体"/>
          <w:b/>
          <w:color w:val="FF0000"/>
          <w:szCs w:val="24"/>
        </w:rPr>
        <w:t xml:space="preserve">0. doi: 10.2471/BLT.26.295896. </w:t>
      </w:r>
      <w:r w:rsidR="00465EB7" w:rsidRPr="003169E1">
        <w:rPr>
          <w:rFonts w:ascii="宋体" w:eastAsia="宋体" w:hAnsi="宋体" w:cs="宋体"/>
          <w:b/>
          <w:color w:val="FF0000"/>
          <w:szCs w:val="24"/>
        </w:rPr>
        <w:t>Epub 2026 Jun 1.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 model for the epidemiological impact of tuberculosis policy options.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Mandal S(1), Satyanarayana S(1), McQuaid F(2), Dodd PJ(3), Menzies NA(4), White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RG(2), Arinaminpathy N(5), Houben RM(2), Dowdy DW(6), Smit M(7), Sahu S(8),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Pretorius C(1).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(1)Center for Modeling and Analysis, Avenir Health, 2510 Main Street,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Glastonbury, CT 06033, United States of America (USA).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(2)Department of Infectious Disease Epidemiology, London School of Hygiene and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Tropical Medicine, London, England.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(3)School of Medicine and Population Health, University of Sheffield, Sheffield,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England.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(4)Department of Global Health and Population, Harvard T.H. Chan School of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Public Health, Boston, USA.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(5)School of Public Health, Imperial College London, London, England.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(6)Department of Epidemiology, Johns Hopkins Bloomberg School of Public Health,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Baltimore, USA.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(7)Global Fund, Geneva, Switzerland.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lastRenderedPageBreak/>
        <w:t>(8)Stop TB Partnership, Geneva, Switzerland.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3169E1">
        <w:rPr>
          <w:rFonts w:ascii="宋体" w:eastAsia="宋体" w:hAnsi="宋体" w:cs="宋体"/>
          <w:b/>
          <w:color w:val="000000" w:themeColor="text1"/>
          <w:szCs w:val="24"/>
        </w:rPr>
        <w:t>OBJECTIVE: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 To develop a new tuberculosis transmission model, addressing the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limitations of and building on the TB Impact Model and Estimates software tool,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to enable decision-makers to assess the impact of various tuberculosis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interventions and allocate resources more effectively.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3169E1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 We designed a model incorporating diagnosis and treatment pathways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across public and private sectors, stratified across age groups, drug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susceptibility, human immunodeficiency virus status and vaccination status. We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calibrated our model using country-specific data from 29 high-burden countries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and determined calibration target indicators according to national epidemic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profiles. We performed the model calibration using a Bayesian adaptive Markov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chain Monte Carlo process. We compare modelled and actual data for Indonesia and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Nigeria.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3169E1">
        <w:rPr>
          <w:rFonts w:ascii="宋体" w:eastAsia="宋体" w:hAnsi="宋体" w:cs="宋体"/>
          <w:b/>
          <w:color w:val="000000" w:themeColor="text1"/>
          <w:szCs w:val="24"/>
        </w:rPr>
        <w:t>FINDINGS: O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ur model calibration results showed good agreement with historical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tuberculosis data. In Indonesia, we demonstrate that comprehensive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implementation of the Stop TB Partnership Global plan to end TB interventions,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including a public-private partnership, modern diagnostics, improved treatment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for drug-resistant tuberculosis and a post-exposure vaccine, could enable the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country to achieve the targets of the World Health Organization (WHO) End TB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Strategy by 2035. In Nigeria, implementing the National strategic plan for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tuberculosis control 2021-2026 could reduce tuberculosis incidence by 27% and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mortality by 37% by 2030, even without a vaccine.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3169E1">
        <w:rPr>
          <w:rFonts w:ascii="宋体" w:eastAsia="宋体" w:hAnsi="宋体" w:cs="宋体"/>
          <w:b/>
          <w:color w:val="000000" w:themeColor="text1"/>
          <w:szCs w:val="24"/>
        </w:rPr>
        <w:t xml:space="preserve">CONCLUSION: 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Our model provides a robust analytical foundation from which to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assess the epidemiological impact of diverse interventions, prioritize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investments and guide policy. The model's open-source design and alignment with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WHO recommendations make it a valuable tool for guiding evidence-based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investment.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3169E1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 </w:t>
      </w:r>
      <w:r w:rsidR="00465EB7" w:rsidRPr="00465EB7">
        <w:rPr>
          <w:rFonts w:ascii="宋体" w:eastAsia="宋体" w:hAnsi="宋体" w:cs="宋体"/>
          <w:color w:val="000000" w:themeColor="text1"/>
          <w:szCs w:val="24"/>
        </w:rPr>
        <w:t>(c) 2026 The authors; licensee World Health Organization.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DOI: 10.2471/BLT.26.295896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PMCID: PMC13404388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PMID: 42516122 [Indexed for MEDLINE]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6629C8" w:rsidRDefault="00EF53A4" w:rsidP="00465EB7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45</w:t>
      </w:r>
      <w:r w:rsidR="00465EB7" w:rsidRPr="006629C8">
        <w:rPr>
          <w:rFonts w:ascii="宋体" w:eastAsia="宋体" w:hAnsi="宋体" w:cs="宋体"/>
          <w:b/>
          <w:color w:val="FF0000"/>
          <w:szCs w:val="24"/>
        </w:rPr>
        <w:t>. Curr Microbiol. 2026 Jul 27;83(9):492. doi: 10.1007/s00284-026-05038-2.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Transcriptional Profiling of Hypo- and Hypervirulent Mycobacterium tuberculosis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Isolates Characterised by Differential Expression of the Moa3 Operon.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Ambler JM(1), Potgieter MG(2), Klopper M(3), Grobbelaar M(3), De Vos M(3),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Sampson S(3), Mark Warren R(3), Blackburn J(2), Mulder N(4)(5).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(1)Department of Integrative Biomedical Sciences, Institute of Infectious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Disease &amp; Molecular Medicine, Faculty of Health Sciences, University of Cape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Town, Western Cape, 7925, Cape Town, South Africa. jambler24@gmail.com.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(2)Department of Integrative Biomedical Sciences, Institute of Infectious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Disease &amp; Molecular Medicine, Faculty of Health Sciences, University of Cape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Town, Western Cape, 7925, Cape Town, South Africa.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(3)South African Medical Research Council Centre for Tuberculosis Research,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Division of Molecular Biology and Human Genetics, Faculty of Medicine and Health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Sciences, Stellenbosch University, Cape Town, Western Cape, 7602, South Africa.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(4)Department of Integrative Biomedical Sciences, Institute of Infectious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Disease &amp; Molecular Medicine, Faculty of Health Sciences, University of Cape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Town, Western Cape, 7925, Cape Town, South Africa. nicola.mulder@uct.ac.za.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(5)Wellcome Discovery Research Platform for Infection, CIDRI-Africa; and South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African Medical Research Council AI for African Population Health Research Unit,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University of Cape Town, 7925, Cape Town, South Africa. nicola.mulder@uct.ac.za.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Despite advances in tuberculosis treatment and prevention, tuberculosis remains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 global health threat, responsible for an estimated 1.23 million deaths in 2024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[46], with continued concern over drug-resistant strains. In the Western Cape,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South Africa, co-infection of tuberculosis and HIV is a significant public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health concern contributing to a higher burden of disease. We compared the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transcriptomes of two genetically similar Beijing family strains of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Mycobacterium tuberculosis under four different growth conditions, including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oxidative stress, using three biological replicates for each isolate. We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identified an operon containing genes involved in the biosynthesis of molybdenum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cofactor that showed consistently lower levels of expression in the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hypervirulent isolate. This pathway is known to play a critical role in numerous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metabolic and redox processes, and its dysregulation could contribute to the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observed differences in disease severity between the two isolates. The moa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genes, which are involved in the biosynthesis of the molybdenum cofactor, have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been previously linked to M. tuberculosis virulence through their essential role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in redox metabolism and oxidative stress response. Our results support this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hypothesis by identifying differential expression of the moa operon as a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potential mechanism underlying the differences in disease severity between the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two isolates. Furthermore, the minimal genetic differences between these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isolates make them an ideal system for further study of this pathway and its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contributions to tuberculosis pathogenesis.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 2026. The Author(s).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DOI: 10.1007/s00284-026-05038-2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PMCID: PMC13407613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PMID: 42509362 [Indexed for MEDLINE]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6629C8" w:rsidRDefault="00EF53A4" w:rsidP="00465EB7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lastRenderedPageBreak/>
        <w:t>46</w:t>
      </w:r>
      <w:r w:rsidR="00465EB7" w:rsidRPr="006629C8">
        <w:rPr>
          <w:rFonts w:ascii="宋体" w:eastAsia="宋体" w:hAnsi="宋体" w:cs="宋体"/>
          <w:b/>
          <w:color w:val="FF0000"/>
          <w:szCs w:val="24"/>
        </w:rPr>
        <w:t>. BMJ Case Rep. 2026 Jul 27;19(7):e275101. doi: 10.1136/bcr-2026-275101.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Ischaemic stroke associated with Takayasu arteritis and latent tuberculosis: a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diagnostic and therapeutic challenge.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Bashir MK(1), Miranda J(2), Yang HW(2), Morote G(3).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(1)Geriatrics and Stroke Medicine, Letterkenny University Hospital, Letterkenny,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Donegal, Ireland muhammad.bashir4@hse.ie.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(2)Geriatrics and Stroke Medicine, Letterkenny University Hospital, Letterkenny,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Donegal, Ireland.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(3)Rheumatology, Sligo University Hospital, Sligo, Ireland.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 man in his early 40s presented late with right-sided weakness and dysarthria.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MRI showed an infarct in the posterior limb of the left internal capsule in the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anterior choroidal artery territory. CT angiography of the head and neck showed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no large-vessel occlusion, significant cervicocephalic stenosis or dissection.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Given his young age, limited vascular risk factors apart from hypertension and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systemic vascular clues, further assessment revealed pretreatment CT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angiographic evidence of large-vessel arteritis involving the abdominal aorta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and branch vessels. Rheumatology favoured Takayasu arteritis after consideration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of mimics. The stroke mechanism remained uncertain; hypertensive small-vessel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disease was plausible although an inflammatory contribution was considered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clinically possible. QuantiFERON-TB Gold was positive and was managed as latent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tuberculosis after respiratory/infectious diseases review found no evidence of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active tuberculosis. Positron emission tomography (PET)-CT performed after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immunosuppression showed thoracic nodal uptake, but subsequent high-resolution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computed tomography (HRCT) thorax was unremarkable. Treatment included stroke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therapy, corticosteroids, rifampicin and tocilizumab.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 BMJ Publishing Group Limited 2026. No commercial re-use. See rights and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permissions. Published by BMJ Group.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DOI: 10.1136/bcr-2026-275101</w:t>
      </w:r>
    </w:p>
    <w:p w:rsidR="00465EB7" w:rsidRPr="00465EB7" w:rsidRDefault="00465EB7" w:rsidP="00465EB7">
      <w:pPr>
        <w:rPr>
          <w:rFonts w:ascii="宋体" w:eastAsia="宋体" w:hAnsi="宋体" w:cs="宋体" w:hint="eastAsia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PMID:</w:t>
      </w:r>
      <w:r w:rsidR="006629C8">
        <w:rPr>
          <w:rFonts w:ascii="宋体" w:eastAsia="宋体" w:hAnsi="宋体" w:cs="宋体"/>
          <w:color w:val="000000" w:themeColor="text1"/>
          <w:szCs w:val="24"/>
        </w:rPr>
        <w:t xml:space="preserve"> 42508954 [Indexed for MEDLINE]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6629C8" w:rsidRDefault="00EF53A4" w:rsidP="00465EB7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47</w:t>
      </w:r>
      <w:r w:rsidR="00465EB7" w:rsidRPr="006629C8">
        <w:rPr>
          <w:rFonts w:ascii="宋体" w:eastAsia="宋体" w:hAnsi="宋体" w:cs="宋体"/>
          <w:b/>
          <w:color w:val="FF0000"/>
          <w:szCs w:val="24"/>
        </w:rPr>
        <w:t xml:space="preserve">. Lancet Infect Dis. 2026 Jul 27:S1473-3099(26)00351-8. doi: </w:t>
      </w:r>
    </w:p>
    <w:p w:rsidR="00465EB7" w:rsidRPr="006629C8" w:rsidRDefault="00465EB7" w:rsidP="00465EB7">
      <w:pPr>
        <w:rPr>
          <w:rFonts w:ascii="宋体" w:eastAsia="宋体" w:hAnsi="宋体" w:cs="宋体"/>
          <w:b/>
          <w:color w:val="FF0000"/>
          <w:szCs w:val="24"/>
        </w:rPr>
      </w:pPr>
      <w:r w:rsidRPr="006629C8">
        <w:rPr>
          <w:rFonts w:ascii="宋体" w:eastAsia="宋体" w:hAnsi="宋体" w:cs="宋体"/>
          <w:b/>
          <w:color w:val="FF0000"/>
          <w:szCs w:val="24"/>
        </w:rPr>
        <w:t>10.1016/S1473-3099(26)00351-8. Online ahead of print.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Empiric tuberculosis treatment in hospitalised adults with advanced HIV disease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in Africa: applying the therapeutic threshold to clinical practice.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Boyles T(1), Ellis J(2), Feasey N(3), Heysell SK(4), Jacob ST(5), Jarvis J(6),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lastRenderedPageBreak/>
        <w:t>Moore CC(7), Nuwagira E(8), Mpagama SG(9).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(1)Clinical Health Research Unit, Department of Medicine, University of the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Witwatersrand, Johannesburg, South Africa. Electronic address: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tboyles@witshealth.co.za.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(2)Infectious Diseases Institute, College of Health Sciences, Makerere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University, Kampala, Uganda; Clinical Research Department, London School of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Hygiene &amp; Tropical Medicine, London, UK.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(3)Department of Clinical Sciences, Liverpool School of Tropical Medicine,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Liverpool, UK; The School of Medicine, The University of St Andrews, St Andrews,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UK; Malawi Liverpool Wellcome Programme, Kamuzu University of Health Sciences,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Blantyre, Malawi.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(4)Division of Infectious Diseases and International Health, University of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Virginia, Charlottesville, VA, USA; Center for Global Health Equity, University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of Virginia, Charlottesville, VA, USA.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(5)Department of Clinical Sciences, Liverpool School of Tropical Medicine,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Liverpool, UK; Walimu, Kampala, Uganda.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(6)Clinical Research Department, London School of Hygiene &amp; Tropical Medicine,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London, UK; Botswana Harvard Health Partnership, Gaborone, Botswana.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(7)Division of Infectious Diseases and International Health, University of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Virginia, Charlottesville, VA, USA; Department of Medicine, Mbarara University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of Science and Technology, Mbarara, Uganda.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(8)Clinical Health Research Unit, Department of Medicine, University of the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Witwatersrand, Johannesburg, South Africa.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(9)Kibong'oto Infectious Diseases Hospital, Kilimanjaro, Tanzania; Nelson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Mandela African Institution of Science and Technology, Arusha, Tanzania.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Hospitalised adults with advanced HIV disease in sub-Saharan Africa experience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high mortality, with tuberculosis, often disseminated and undiagnosed, being a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leading cause. Despite this, initiation of antituberculous therapy is frequently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delayed pending diagnostic confirmation, which may be unavailable in this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population. Evidence from recent trials and cohort studies suggests that even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short delays in antituberculous therapy are associated with substantial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increases in mortality, whereas empiric therapy might improve survival in people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at high risk. Applying the therapeutic threshold framework, the high pre-test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probability of tuberculosis in severely ill inpatients with advanced HIV disease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often exceeds the threshold at which treatment benefits outweigh risks, even in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the absence of confirmatory testing. Although concerns regarding toxicity, drug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interactions, and overtreatment are valid, short-term empiric antituberculous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therapy appears safe and these risks might be outweighed by the consequences of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untreated disease. We argue for a paradigm shift towards earlier empiric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antituberculous therapy, with parallel diagnostic evaluation and structured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reassessment in selected patients, and for adequately powered randomised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lastRenderedPageBreak/>
        <w:t>controlled trials of empiric therapy powered for mortality.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Copyright © 2026 Elsevier Ltd. All rights reserved, including those for text and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data mining, AI training, and similar technologies.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DOI: 10.1016/S1473-3099(26)00351-8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PMID: 42508442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6629C8" w:rsidRDefault="00EF53A4" w:rsidP="00465EB7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48</w:t>
      </w:r>
      <w:r w:rsidR="00465EB7" w:rsidRPr="006629C8">
        <w:rPr>
          <w:rFonts w:ascii="宋体" w:eastAsia="宋体" w:hAnsi="宋体" w:cs="宋体"/>
          <w:b/>
          <w:color w:val="FF0000"/>
          <w:szCs w:val="24"/>
        </w:rPr>
        <w:t xml:space="preserve">. J Neurosurg Case Lessons. 2026 Jul 27;12(4):CASE26178. doi: 10.3171/CASE26178. </w:t>
      </w:r>
    </w:p>
    <w:p w:rsidR="00465EB7" w:rsidRPr="006629C8" w:rsidRDefault="00465EB7" w:rsidP="00465EB7">
      <w:pPr>
        <w:rPr>
          <w:rFonts w:ascii="宋体" w:eastAsia="宋体" w:hAnsi="宋体" w:cs="宋体"/>
          <w:b/>
          <w:color w:val="FF0000"/>
          <w:szCs w:val="24"/>
        </w:rPr>
      </w:pPr>
      <w:r w:rsidRPr="006629C8">
        <w:rPr>
          <w:rFonts w:ascii="宋体" w:eastAsia="宋体" w:hAnsi="宋体" w:cs="宋体"/>
          <w:b/>
          <w:color w:val="FF0000"/>
          <w:szCs w:val="24"/>
        </w:rPr>
        <w:t>Print 2026 Jul 27.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Tuberculous brain abscess mimicking a neoplastic lesion in a patient with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well-controlled human immunodeficiency virus infection: illustrative case.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Valdivia DJ(1), Noren H(1), Cook B(2)(3), Levin-Carrion Y(4), Ginalis EE(4),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Uchenna PO(4), Movahed-Ezazi M(5), Boukhar S(6), Baisre A(5), Sundararajan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S(2)(3), Sun H(1).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(1)Department of Neurosurgery, Robert Wood Johnson Medical School, New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Brunswick.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(2)Department of Interventional Radiology, Robert Wood Johnson Medical School,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New Brunswick.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(3)Department of Radiology, Robert Wood Johnson Medical School, New Brunswick.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(4)Department of Neurosurgery, New Jersey Medical School, Newark.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(5)Department of Pathology, New Jersey Medical School, Newark.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(6)Department of Pathology, Robert Wood Johnson Medical School, New Brunswick,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New Jersey.</w:t>
      </w:r>
    </w:p>
    <w:p w:rsidR="00465EB7" w:rsidRPr="006629C8" w:rsidRDefault="00465EB7" w:rsidP="00465EB7">
      <w:pPr>
        <w:rPr>
          <w:rFonts w:ascii="宋体" w:eastAsia="宋体" w:hAnsi="宋体" w:cs="宋体"/>
          <w:b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6629C8">
        <w:rPr>
          <w:rFonts w:ascii="宋体" w:eastAsia="宋体" w:hAnsi="宋体" w:cs="宋体"/>
          <w:b/>
          <w:color w:val="000000" w:themeColor="text1"/>
          <w:szCs w:val="24"/>
        </w:rPr>
        <w:t xml:space="preserve">BACKGROUND: 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Tuberculous brain abscess is a rare manifestation of CNS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tuberculosis, typically occurring in patients with significant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immunosuppression. These lesions may present as solitary ring-enhancing masses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and can radiographically resemble neoplastic processes, creating diagnostic and </w:t>
      </w:r>
    </w:p>
    <w:p w:rsidR="00465EB7" w:rsidRPr="006629C8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6629C8">
        <w:rPr>
          <w:rFonts w:ascii="宋体" w:eastAsia="宋体" w:hAnsi="宋体" w:cs="宋体"/>
          <w:color w:val="000000" w:themeColor="text1"/>
          <w:szCs w:val="24"/>
        </w:rPr>
        <w:t>management challenges.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6629C8">
        <w:rPr>
          <w:rFonts w:ascii="宋体" w:eastAsia="宋体" w:hAnsi="宋体" w:cs="宋体"/>
          <w:b/>
          <w:color w:val="000000" w:themeColor="text1"/>
          <w:szCs w:val="24"/>
        </w:rPr>
        <w:t>OBSERVATIONS: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 A 43-year-old man with well-controlled human immunodeficiency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virus (HIV) infection and a remote history of treated pulmonary tuberculosis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presented with progressively worsening unilateral headaches. MRI demonstrated a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small, lobulated, peripherally enhancing posterior temporal lobe mass adjacent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to dominant-hemisphere language cortex without surrounding edema, raising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concern for a neoplastic lesion. Given the progressive symptoms and eloquent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location, the patient underwent awake craniotomy with language mapping and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gross-total resection. Histopathological evaluation revealed a chronic abscess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with granulomatous inflammation, and acid-fast staining and polymerase chain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reaction confirmed Mycobacterium tuberculosis, establishing the diagnosis of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tuberculous brain abscess. The patient recovered without new neurological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deficits and showed clinical improvement at follow-up.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6629C8">
        <w:rPr>
          <w:rFonts w:ascii="宋体" w:eastAsia="宋体" w:hAnsi="宋体" w:cs="宋体"/>
          <w:b/>
          <w:color w:val="000000" w:themeColor="text1"/>
          <w:szCs w:val="24"/>
        </w:rPr>
        <w:t xml:space="preserve">LESSONS: 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Tuberculous brain abscess can occur even in patients without overt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immunodeficiency, including those with well-controlled HIV infection. Because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imaging findings may overlap with neoplastic lesions and systemic infectious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features may be absent, maintaining a broad differential diagnosis and pursuing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timely tissue confirmation are essential to guide appropriate management and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avoid delays in treating either infection or malignancy.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https://thejns.org/doi/10.3171/CASE26178.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DOI: 10.3171/CASE26178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PMCID: PMC13403591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PMID: 42508059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6629C8" w:rsidRDefault="00EF53A4" w:rsidP="00465EB7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49</w:t>
      </w:r>
      <w:r w:rsidR="00465EB7" w:rsidRPr="006629C8">
        <w:rPr>
          <w:rFonts w:ascii="宋体" w:eastAsia="宋体" w:hAnsi="宋体" w:cs="宋体"/>
          <w:b/>
          <w:color w:val="FF0000"/>
          <w:szCs w:val="24"/>
        </w:rPr>
        <w:t xml:space="preserve">. PLoS One. 2026 Jul 27;21(7):e0353691. doi: 10.1371/journal.pone.0353691. </w:t>
      </w:r>
    </w:p>
    <w:p w:rsidR="00465EB7" w:rsidRPr="006629C8" w:rsidRDefault="00465EB7" w:rsidP="00465EB7">
      <w:pPr>
        <w:rPr>
          <w:rFonts w:ascii="宋体" w:eastAsia="宋体" w:hAnsi="宋体" w:cs="宋体"/>
          <w:b/>
          <w:color w:val="FF0000"/>
          <w:szCs w:val="24"/>
        </w:rPr>
      </w:pPr>
      <w:r w:rsidRPr="006629C8">
        <w:rPr>
          <w:rFonts w:ascii="宋体" w:eastAsia="宋体" w:hAnsi="宋体" w:cs="宋体"/>
          <w:b/>
          <w:color w:val="FF0000"/>
          <w:szCs w:val="24"/>
        </w:rPr>
        <w:t>eCollection 2026.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Incidence of tuberculosis in patients with immune-mediated diseases undergone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biological therapy: A 10-year observational study in a high-burden region of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northeastern Brazil.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Dos Santos Guimarães RM(1), Lopes Marques CD(2), Montarroyos UR(3), Guimarães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CS(4), Alves da Silva J(5), Filho LFS(6), Medeiros V(7), de Aquino IRPUC(8),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Dhalia R(9), Lopes EP(1)(10), Brito CAA(1)(8)(10).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(1)Center for Medical Sciences, Postgraduate Program in Tropical Medicine,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Federal University of Pernambuco, Recife, Pernambuco, Brazil.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(2)Center for Medical Sciences, Postgraduate Program in Translational Health,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Federal University of Pernambuco, Recife, Pernambuco, Brazil.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(3)Institute of Biological Sciences, Postgraduate Program in Health Sciences,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University of Pernambuco, Recife, Pernambuco, Brazil.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(4)School of Medicine, Maurício de Nassau University, Recife, Pernambuco,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Brazil.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(5)Coordination of the State Tuberculosis Control Program, State Health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Department of Pernambuco, Recife, Pernambuco, Brazil.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(6)Executive Department for Health Care, State Health Department of Pernambuco,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General Directorate of Pharmaceutical Assistance, Recife, Pernambuco, Brazil.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(7)Department of Dermatology, Federal University of Pernambuco, Recife,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Pernambuco, Brazil.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(8)Autoimune Research Institute, Recife, Pernambuco, Brazil.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(9)Aggeu Magalhães Institute - Fiocruz, Recife, Pernambuco, Brazil.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(10)Federal University of Pernambuco, Hospital das Clínicas/HU Brasil, Recife,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Pernambuco, Brazil.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Biological therapies are critical in the management of Immune-Mediated Diseases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(IMDs), yet their use is linked to adverse effects, including an elevated risk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of Tuberculosis (TB), a significant health issue in endemic regions like Brazil.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This study aimed to assess the incidence of TB among patients with IMDs in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rheumatology, gastroenterology, and dermatology who received biological therapy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in Pernambuco between 2013 and 2023. A total of 8,623 patients were analyzed,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with 90.7% diagnosed with rheumatologic diseases, 5.6% with gastroenterological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diseases, and 3.7% with psoriasis. In the descriptive analysis, frequency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distributions and medians with interquartile ranges were reported, and Relative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Risk (RR) was calculated to compare tuberculosis occurrence across IMD groups.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The overall TB incidence was 2.1%, highest in gastroenterological patients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(4.7%) compared to rheumatologic (2.0%) and psoriasis patients (1.3%) with a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risk ratio (RR) of 2.4 for the group of gastroenterological diseases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(p</w:t>
      </w:r>
      <w:r w:rsidRPr="00465EB7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465EB7">
        <w:rPr>
          <w:rFonts w:ascii="宋体" w:eastAsia="宋体" w:hAnsi="宋体" w:cs="宋体"/>
          <w:color w:val="000000" w:themeColor="text1"/>
          <w:szCs w:val="24"/>
        </w:rPr>
        <w:t>&lt;</w:t>
      </w:r>
      <w:r w:rsidRPr="00465EB7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0.001). No significant differences in TB frequency were detected before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(1.16%) or during (0.97%) the use of biological therapy, nor among drug classes,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except for a slightly higher incidence with infliximab (2.6%). The absence of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differences between the other anti-Tumor Necrosis Factor (anti-TNF) drugs and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other cytokine inhibitors suggests that TB incidence might be influenced by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environmental exposure in endemic regions. Pulmonary TB was the predominant form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(80.8%), and pleural TB emerged as the most frequent extrapulmonary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manifestation. The results underscore the need for extensive regional studies to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elucidate TB risks in IMD patients and refine treatment guidelines for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immunobiological therapies.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Copyright: © 2026 dos Santos Guimarães et al. This is an open access article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distributed under the terms of the Creative Commons Attribution License, which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permits unrestricted use, distribution, and reproduction in any medium, provided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the original author and source are credited.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DOI: 10.1371/journal.pone.0353691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PMCID: PMC13405316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PMID: 42507694 [Indexed for MEDLINE]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1B72F3" w:rsidRDefault="00EF53A4" w:rsidP="00465EB7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50</w:t>
      </w:r>
      <w:r w:rsidR="00465EB7" w:rsidRPr="001B72F3">
        <w:rPr>
          <w:rFonts w:ascii="宋体" w:eastAsia="宋体" w:hAnsi="宋体" w:cs="宋体"/>
          <w:b/>
          <w:color w:val="FF0000"/>
          <w:szCs w:val="24"/>
        </w:rPr>
        <w:t xml:space="preserve">. PLoS One. 2026 Jul 27;21(7):e0354329. doi: 10.1371/journal.pone.0354329. </w:t>
      </w:r>
    </w:p>
    <w:p w:rsidR="00465EB7" w:rsidRPr="001B72F3" w:rsidRDefault="00465EB7" w:rsidP="00465EB7">
      <w:pPr>
        <w:rPr>
          <w:rFonts w:ascii="宋体" w:eastAsia="宋体" w:hAnsi="宋体" w:cs="宋体"/>
          <w:b/>
          <w:color w:val="FF0000"/>
          <w:szCs w:val="24"/>
        </w:rPr>
      </w:pPr>
      <w:r w:rsidRPr="001B72F3">
        <w:rPr>
          <w:rFonts w:ascii="宋体" w:eastAsia="宋体" w:hAnsi="宋体" w:cs="宋体"/>
          <w:b/>
          <w:color w:val="FF0000"/>
          <w:szCs w:val="24"/>
        </w:rPr>
        <w:t>eCollection 2026.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 simulation model to predict the most efficient way to utilise operational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resources when vaccinating badgers against bTB.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Budgey R(1), Bird M(2).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(1)National Wildlife Management Centre, WOAH Collaborating Centre in Risk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Analysis and Modelling, Animal and Plant Health Agency, Sand Hutton, York,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United Kingdom.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(2)National Wildlife Management Centre, Animal and Plant Health Agency,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Woodchester Park, Gloucestershire, United Kingdom.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Bovine tuberculosis (bTB) is a disease carried by badgers that seriously impacts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the health and productivity of cattle in the United Kingdom (UK). The UK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government's aim is to be officially TB-free in cattle by 2038 in England and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badger vaccination is one approach that can be used to achieve this. We use a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simulation model to compare the relative performance of different vaccination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strategies (treatment every year, every second year and every third year) under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different field conditions and assumptions about vaccine efficacy. Population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density, disease prevalence and duration of vaccine-induced immunity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substantially affected the outcome of vaccination. A vaccine strategy with lower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frequency treatment was effective and offers operational efficiency as multiple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areas can be treated near concurrently by a single vaccination team, potentially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halving the cost per unit area. The information presented here may be used to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guide operational managers and decision makers towards a more efficient strategy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in a particular area and may provide an estimation of the likely success of the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chosen strategy.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Copyright: © 2026 Budgey, Bird. This is an open access article distributed under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the terms of the Creative Commons Attribution License, which permits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unrestricted use, distribution, and reproduction in any medium, provided the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original author and source are credited.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DOI: 10.1371/journal.pone.0354329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PMCID: PMC13405079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PMID: 42507633 [Indexed for MEDLINE]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1B72F3" w:rsidRDefault="00EF53A4" w:rsidP="00465EB7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51</w:t>
      </w:r>
      <w:r w:rsidR="00465EB7" w:rsidRPr="001B72F3">
        <w:rPr>
          <w:rFonts w:ascii="宋体" w:eastAsia="宋体" w:hAnsi="宋体" w:cs="宋体"/>
          <w:b/>
          <w:color w:val="FF0000"/>
          <w:szCs w:val="24"/>
        </w:rPr>
        <w:t>. Eur J Clin Microbiol Infect Dis. 2026 Jul 27. do</w:t>
      </w:r>
      <w:r w:rsidR="001B72F3" w:rsidRPr="001B72F3">
        <w:rPr>
          <w:rFonts w:ascii="宋体" w:eastAsia="宋体" w:hAnsi="宋体" w:cs="宋体"/>
          <w:b/>
          <w:color w:val="FF0000"/>
          <w:szCs w:val="24"/>
        </w:rPr>
        <w:t xml:space="preserve">i: 10.1007/s10096-026-05609-y. </w:t>
      </w:r>
      <w:r w:rsidR="00465EB7" w:rsidRPr="001B72F3">
        <w:rPr>
          <w:rFonts w:ascii="宋体" w:eastAsia="宋体" w:hAnsi="宋体" w:cs="宋体"/>
          <w:b/>
          <w:color w:val="FF0000"/>
          <w:szCs w:val="24"/>
        </w:rPr>
        <w:t>Online ahead of print.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Prevalence, risk factors, clinical characteristics and outcomes of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tuberculosis-associated immune reconstitution inflammatory syndrome in a HIV and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tuberculosis low-incidence setting.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Sepulcri C(1)(2), Crupi L(3), Delfino E(4), Taramasso L(4), Bassetti M(5)(4), Di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Biagio A(5)(4).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(1)Department of Health Sciences (DISSAL), University of Genova, Via Pastore, 1,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Genoa, 16132, Italy. chiara.sepulcri@gmail.com.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(2)Infectious Diseases Unit, AOM - IRCCS Ospedale Policlinico San Martino,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lastRenderedPageBreak/>
        <w:t>Genoa, Italy. chiara.sepulcri@gmail.com.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(3)Infectious Diseases Unit, ASL5 Liguria, La Spezia, Italy.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(4)Infectious Diseases Unit, AOM - IRCCS Ospedale Policlinico San Martino,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Genoa, Italy.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(5)Department of Health Sciences (DISSAL), University of Genova, Via Pastore, 1,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Genoa, 16132, Italy.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1B72F3">
        <w:rPr>
          <w:rFonts w:ascii="宋体" w:eastAsia="宋体" w:hAnsi="宋体" w:cs="宋体"/>
          <w:b/>
          <w:color w:val="000000" w:themeColor="text1"/>
          <w:szCs w:val="24"/>
        </w:rPr>
        <w:t xml:space="preserve">BACKGROUND: 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Most data on tuberculosis-associated immune reconstitution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inflammatory syndrome (TB-IRIS) in people living with HIV (PWH) come from high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TB/HIV-incidence settings. We described TB-IRIS in a low-incidence setting and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applied International Network for the Study of HIV-associated IRIS (INSHI) case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definitions.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1B72F3">
        <w:rPr>
          <w:rFonts w:ascii="宋体" w:eastAsia="宋体" w:hAnsi="宋体" w:cs="宋体"/>
          <w:b/>
          <w:color w:val="000000" w:themeColor="text1"/>
          <w:szCs w:val="24"/>
        </w:rPr>
        <w:t xml:space="preserve">METHODS: 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Single-center retrospective study in Italy including PWH with TB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(2013-2023).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1B72F3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 Among 21 PWH, 2 developed unmasking and 3 paradoxical TB-IRIS,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diagnosed with radiology, histology, clinical parameters and inflammatory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markers. Disseminated TB and shorter TB-treatment-to-ART intervals were more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common in IRIS. One paradoxical case would have been missed by INSHI criteria.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1B72F3">
        <w:rPr>
          <w:rFonts w:ascii="宋体" w:eastAsia="宋体" w:hAnsi="宋体" w:cs="宋体"/>
          <w:b/>
          <w:color w:val="000000" w:themeColor="text1"/>
          <w:szCs w:val="24"/>
        </w:rPr>
        <w:t>CONCLUSION: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 TB-IRIS was common; inflammatory markers could aid diagnosis.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 2026. The Author(s), under exclusive licence to Springer-Verlag GmbH Germany,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part of Springer Nature.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DOI: 10.1007/s10096-026-05609-y</w:t>
      </w:r>
    </w:p>
    <w:p w:rsidR="00465EB7" w:rsidRPr="00465EB7" w:rsidRDefault="001B72F3" w:rsidP="00465EB7">
      <w:pPr>
        <w:rPr>
          <w:rFonts w:ascii="宋体" w:eastAsia="宋体" w:hAnsi="宋体" w:cs="宋体" w:hint="eastAsia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t>PMID: 42507275</w:t>
      </w:r>
    </w:p>
    <w:p w:rsidR="001B72F3" w:rsidRDefault="001B72F3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1B72F3" w:rsidRDefault="00EF53A4" w:rsidP="00465EB7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52</w:t>
      </w:r>
      <w:r w:rsidR="00465EB7" w:rsidRPr="001B72F3">
        <w:rPr>
          <w:rFonts w:ascii="宋体" w:eastAsia="宋体" w:hAnsi="宋体" w:cs="宋体"/>
          <w:b/>
          <w:color w:val="FF0000"/>
          <w:szCs w:val="24"/>
        </w:rPr>
        <w:t>. J Clin Microbiol. 2026 Jul 27:e0004626. doi: 10.1</w:t>
      </w:r>
      <w:r w:rsidR="001B72F3" w:rsidRPr="001B72F3">
        <w:rPr>
          <w:rFonts w:ascii="宋体" w:eastAsia="宋体" w:hAnsi="宋体" w:cs="宋体"/>
          <w:b/>
          <w:color w:val="FF0000"/>
          <w:szCs w:val="24"/>
        </w:rPr>
        <w:t xml:space="preserve">128/jcm.00046-26. Online ahead </w:t>
      </w:r>
      <w:r w:rsidR="00465EB7" w:rsidRPr="001B72F3">
        <w:rPr>
          <w:rFonts w:ascii="宋体" w:eastAsia="宋体" w:hAnsi="宋体" w:cs="宋体"/>
          <w:b/>
          <w:color w:val="FF0000"/>
          <w:szCs w:val="24"/>
        </w:rPr>
        <w:t>of print.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Head-to-head evaluation of host blood biomarkers for point-of-care TB triage: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diagnostic accuracy study.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Komakech K(1)(2), Sserwadda I(2)(3), Sserubiri J(1), Joloba M(3)(4), Theron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G(5), Cobelens F(2), Ssengooba W(1)(6).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(1)Department of Medical Microbiology, School of Biomedical Sciences, College of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Health Sciences, Makerere University, Kampala, Uganda.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(2)Department of Global Health, Amsterdam Institute for Global Health and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Development, Amsterdam University Medical Centres, Amsterdam, Netherlands.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(3)Department of Immunology and Molecular Biology, School of Biomedical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Sciences, College of Health Sciences, Makerere University, Kampala, Uganda.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(4)National Tuberculosis Reference Laboratory/WHO Supranational Reference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Laboratory, Kampala, Uganda.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(5)Department of Science and Technology-National Research Foundation Centre of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Excellence for Biomedical Tuberculosis Research, South African Medical Research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Council Centre for Tuberculosis Research, Division of Molecular Biology and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Human Genetics, Faculty of Medicine and Health Sciences, Stellenbosch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University, Cape Town, South Africa.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(6)Makerere University Lung Institute, Kampala, Uganda.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Global tuberculosis (TB) incidence is slowly decreasing, partly because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undiagnosed TB continues to fuel transmission. Point-of-care TB triage tests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(TTTs) performed near a patient or at the site of patient care may help bridge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this gap, but head-to-head comparisons of different host blood biomarkers within </w:t>
      </w:r>
    </w:p>
    <w:p w:rsidR="00465EB7" w:rsidRPr="00465EB7" w:rsidRDefault="00465EB7" w:rsidP="00465EB7">
      <w:pPr>
        <w:rPr>
          <w:rFonts w:ascii="宋体" w:eastAsia="宋体" w:hAnsi="宋体" w:cs="宋体" w:hint="eastAsia"/>
          <w:color w:val="000000" w:themeColor="text1"/>
          <w:szCs w:val="24"/>
        </w:rPr>
      </w:pPr>
      <w:r w:rsidRPr="00465EB7">
        <w:rPr>
          <w:rFonts w:ascii="宋体" w:eastAsia="宋体" w:hAnsi="宋体" w:cs="宋体" w:hint="eastAsia"/>
          <w:color w:val="000000" w:themeColor="text1"/>
          <w:szCs w:val="24"/>
        </w:rPr>
        <w:t xml:space="preserve">the same cohort are limited. In ambulatory adults in Uganda aged ≥15 years with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any cough, fever, weight loss, or night sweats, we evaluated the diagnostic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accuracy of C-reactive protein (CRP), monocyte-to-lymphocyte ratio (MLR),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interferon-gamma-induced protein 10 (IP-10), and hemoglobin (anemia)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head-to-head using a reference standard comprised of culture and/or Xpert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MTB/RIF Ultra. Cut-offs of CRP and anemia were from World Health Organization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(WHO) recommendations, MLR from the literature, and IP-10 from Youden's index.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We included 623 participants (193 people living with HIV [PLWHIV]), of whom 111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(18%) were reference standard-positive. Sensitivity and specificity (95% CI) </w:t>
      </w:r>
    </w:p>
    <w:p w:rsidR="00465EB7" w:rsidRPr="00465EB7" w:rsidRDefault="00465EB7" w:rsidP="00465EB7">
      <w:pPr>
        <w:rPr>
          <w:rFonts w:ascii="宋体" w:eastAsia="宋体" w:hAnsi="宋体" w:cs="宋体" w:hint="eastAsia"/>
          <w:color w:val="000000" w:themeColor="text1"/>
          <w:szCs w:val="24"/>
        </w:rPr>
      </w:pPr>
      <w:r w:rsidRPr="00465EB7">
        <w:rPr>
          <w:rFonts w:ascii="宋体" w:eastAsia="宋体" w:hAnsi="宋体" w:cs="宋体" w:hint="eastAsia"/>
          <w:color w:val="000000" w:themeColor="text1"/>
          <w:szCs w:val="24"/>
        </w:rPr>
        <w:t xml:space="preserve">were 91% (84%-96%) and 78% (74%-81%) for CRP (≥10 mg/L); 72% (63%-78%) and 80% </w:t>
      </w:r>
    </w:p>
    <w:p w:rsidR="00465EB7" w:rsidRPr="00465EB7" w:rsidRDefault="00465EB7" w:rsidP="00465EB7">
      <w:pPr>
        <w:rPr>
          <w:rFonts w:ascii="宋体" w:eastAsia="宋体" w:hAnsi="宋体" w:cs="宋体" w:hint="eastAsia"/>
          <w:color w:val="000000" w:themeColor="text1"/>
          <w:szCs w:val="24"/>
        </w:rPr>
      </w:pPr>
      <w:r w:rsidRPr="00465EB7">
        <w:rPr>
          <w:rFonts w:ascii="宋体" w:eastAsia="宋体" w:hAnsi="宋体" w:cs="宋体" w:hint="eastAsia"/>
          <w:color w:val="000000" w:themeColor="text1"/>
          <w:szCs w:val="24"/>
        </w:rPr>
        <w:t xml:space="preserve">(77%-84%) for MLR (≥0.378); 86% (79%-92%) and 73% (69%-77%) for IP-10 (≥28.75);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69% (60%-78%) and 76% (72%-80%) for anemia (&lt;12 g/dL [female], &lt;13 g/dL [male]),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respectively. At 90% sensitivity, specificity was 76% (58%-83%) for CRP; 62%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(47%-74%) for MLR; 64% (47%-75%) for IP-10, and 28% (17%-51%) for anemia. There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was no significant difference for any of the four TTTs in diagnostic odds ratio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between participants with and without a history of previous TB, between smokers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and non-smokers, and between males and females. However, MLR performed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significantly (P = 0.001) worse in PLWHIV. Combining two index tests in parallel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testing improved sensitivity up to 96% at the expense of reduced specificity.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The applicable WHO minimum target product profile of 90% sensitivity and 60%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specificity was met for CRP irrespective of HIV status, and for IP-10 and MLR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when cut-offs were adjusted. Sex, prior history of smoking, and TB did not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impact diagnostic performance. Parallel testing may be suitable in high TB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prevalence settings, where minimizing missed cases and ensuring timely referral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for confirmatory testing are priorities.IMPORTANCEThis study provides strong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evidence that host blood protein biomarkers (C-reactive protein [CRP],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interferon gamma-induced protein 10 [IP-10], and monocyte-to-lymphocyte ratio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[MLR]) can serve as effective point-of-care tools for tuberculosis (TB) triage.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CRP reliably meets the World Health Organization (WHO) high-sensitivity target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product profile criteria across people living with HIV and HIV-negative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populations, while optimized cut-offs enable IP-10 and MLR to achieve comparable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performance, expanding feasible options where CRP is unavailable or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unaffordable. The minimal influence of sex, smoking history, or prior TB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supports broad, unstratified implementation. Evidence that parallel testing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reduces missed TB cases is particularly relevant in high-burden settings.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Clinically, these findings support integrating biomarker-based triage into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routine screening to improve early case detection, although it may require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further external validation to ensure cut-offs used are robust and not overly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data-driven. For policymakers, the results justify incorporating biomarker-based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point-of-care tests into national TB screening algorithms to accelerate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diagnosis, improve referral efficiency, and reduce TB transmission.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DOI: 10.1128/jcm.00046-26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PMID: 42506936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1B72F3" w:rsidRDefault="00EF53A4" w:rsidP="00465EB7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53</w:t>
      </w:r>
      <w:r w:rsidR="00465EB7" w:rsidRPr="001B72F3">
        <w:rPr>
          <w:rFonts w:ascii="宋体" w:eastAsia="宋体" w:hAnsi="宋体" w:cs="宋体"/>
          <w:b/>
          <w:color w:val="FF0000"/>
          <w:szCs w:val="24"/>
        </w:rPr>
        <w:t>. J Clin Microbiol. 2026 Jul 27:e0032126. doi: 10.1</w:t>
      </w:r>
      <w:r w:rsidR="001B72F3" w:rsidRPr="001B72F3">
        <w:rPr>
          <w:rFonts w:ascii="宋体" w:eastAsia="宋体" w:hAnsi="宋体" w:cs="宋体"/>
          <w:b/>
          <w:color w:val="FF0000"/>
          <w:szCs w:val="24"/>
        </w:rPr>
        <w:t xml:space="preserve">128/jcm.00321-26. Online ahead </w:t>
      </w:r>
      <w:r w:rsidR="00465EB7" w:rsidRPr="001B72F3">
        <w:rPr>
          <w:rFonts w:ascii="宋体" w:eastAsia="宋体" w:hAnsi="宋体" w:cs="宋体"/>
          <w:b/>
          <w:color w:val="FF0000"/>
          <w:szCs w:val="24"/>
        </w:rPr>
        <w:t>of print.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Open-access genomic drug resistance prediction tools for Mycobacterium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tuberculosis: a systematic review and meta-analysis.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Dewaele K(1), Jouego C(2)(3)(4), Asim A(5), Laenen L(4)(6), Meehan C(1)(7),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André E(4)(6).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(1)Unit of Mycobacteriology, Institute of Tropical Medicine, Antwerp, Belgium.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(2)Unit of HIV and Tuberculosis, Institute of Tropical Medicine, Antwerp,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Belgium.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(3)Molecular Diagnostic and Research Group, Université de Yaoundé, Yaoundé,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Cameroon.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(4)Laboratory of Clinical Microbiology, Department of Microbiology, Immunology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and Transplantation, KU Leuven, Leuven, Belgium.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(5)Department of Biomedical Sciences, Institute of Tropical Medicine, Antwerp,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Belgium.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(6)Clinical Department of Laboratory Medicine and National Reference Center for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Respiratory Pathogens, KU Leuven University Hospitals Leuven, Leuven, Belgium.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(7)Department of Biosciences, Nottingham Trent University, Nottingham, United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Kingdom.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Whole-genome sequencing (WGS) accelerates drug-susceptibility testing (DST) in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Mycobacterium tuberculosis (Mtb). Open-access software tools have become widely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available, but the sources of real-world performance variability remain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uncharacterized. We performed a systematic review and meta-analysis of the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performance of open-access, independently validated WGS-based DST prediction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tools. Bivariate random-effects meta-analysis was performed for six maintained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tools (TBProfiler, Mykrobe, PhyResSE, MTBseq, GenTB, and SAM-TB). Bivariate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meta-regression identified covariates associated with performance variation.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Thirty-nine studies comprising 144,623 genomes were included. For the two most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extensively validated tools, TBProfiler and Mykrobe, pooled rifampicin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sensitivity was 95.4% (95% CI: 93.5-96.7) and 93.7% (92.0-95.1), with a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specificity of 97.3% (95.7-98.3) and 97.0% (94.8-98.3), respectively. For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isoniazid, the sensitivity was 92.0% (90.4-93.3) and 88.2% (85.5-90.4) and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specificity 97.3% (96.0-98.2) and 97.5% (95.8-98.5). For ethambutol, the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specificity was heterogeneous across tools (86.5%-95.4%); for pyrazinamide, the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sensitivity varied widely (49.9%-80.6%). For fluoroquinolones, both sensitivity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and specificity approached 90%, with heterogeneity. For newer agents, data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scarcity precluded meaningful assessment. Meta-regression identified rifampicin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resistance prevalence as the dominant predictor of decreased specificity across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first-line drugs (β -1.5 to -3.6 on logit scale, false discovery rate [FDR] q &lt;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0.05), while lineage composition effects were small and confounded. Current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open-access WGS prediction tools achieve clinically useful accuracy as rule-out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tests for rifampicin, isoniazid, and fluoroquinolone resistance. Predictive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performance for second-line drugs is limited by data scarcity. Methodological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limitations, including lineage bias, data leakage, and selective sampling, may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undermine the tools' generalizability across diverse global tuberculosis </w:t>
      </w:r>
    </w:p>
    <w:p w:rsidR="001B72F3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populations.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1B72F3">
        <w:rPr>
          <w:rFonts w:ascii="宋体" w:eastAsia="宋体" w:hAnsi="宋体" w:cs="宋体"/>
          <w:b/>
          <w:color w:val="000000" w:themeColor="text1"/>
          <w:szCs w:val="24"/>
        </w:rPr>
        <w:t>IMPORTANCE</w:t>
      </w:r>
      <w:r w:rsidR="001B72F3">
        <w:rPr>
          <w:rFonts w:ascii="宋体" w:eastAsia="宋体" w:hAnsi="宋体" w:cs="宋体"/>
          <w:color w:val="000000" w:themeColor="text1"/>
          <w:szCs w:val="24"/>
        </w:rPr>
        <w:t xml:space="preserve"> 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Tuberculosis remains a leading infectious disease killer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worldwide. Whole-genome sequencing (WGS) of Mycobacterium tuberculosis offers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the potential to rapidly predict drug resistance as a one-stop test, but the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accuracy of the software tools used to interpret sequencing results has been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inconsistently reported. This meta-analysis leverages the heterogeneity across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39 studies and 144,623 genomes to identify factors that drive inconsistencies in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reported performance, providing context-specific guidance for clinical adoption.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We show that most tools perform adequately as rule-out tests for resistance to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the most important first- and second-line drugs but fall short of specificity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targets. Importantly, we identify that the local burden of drug resistance in a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study population is the dominant factor driving inconsistencies between reported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performance estimates. These findings provide guidance for laboratories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considering adopting sequencing-based resistance testing and specify priorities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for future tool development and validation.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DOI: 10.1128/jcm.00321-26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PMID: 42506927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1B72F3" w:rsidRDefault="00EF53A4" w:rsidP="00465EB7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54</w:t>
      </w:r>
      <w:r w:rsidR="00465EB7" w:rsidRPr="001B72F3">
        <w:rPr>
          <w:rFonts w:ascii="宋体" w:eastAsia="宋体" w:hAnsi="宋体" w:cs="宋体"/>
          <w:b/>
          <w:color w:val="FF0000"/>
          <w:szCs w:val="24"/>
        </w:rPr>
        <w:t>. Infect Immun. 2026 Jul 27:e0069825. doi: 10.1128</w:t>
      </w:r>
      <w:r w:rsidR="001B72F3" w:rsidRPr="001B72F3">
        <w:rPr>
          <w:rFonts w:ascii="宋体" w:eastAsia="宋体" w:hAnsi="宋体" w:cs="宋体"/>
          <w:b/>
          <w:color w:val="FF0000"/>
          <w:szCs w:val="24"/>
        </w:rPr>
        <w:t xml:space="preserve">/iai.00698-25. Online ahead of </w:t>
      </w:r>
      <w:r w:rsidR="00465EB7" w:rsidRPr="001B72F3">
        <w:rPr>
          <w:rFonts w:ascii="宋体" w:eastAsia="宋体" w:hAnsi="宋体" w:cs="宋体"/>
          <w:b/>
          <w:color w:val="FF0000"/>
          <w:szCs w:val="24"/>
        </w:rPr>
        <w:t>print.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Protein kinase F regulates the virulence of Mycobacterium tuberculosis.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Torres-Juarez F(#)(1), Rastogi S(#)(2), Young D(3), Belew AT(2)(4)(5), Baker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PJ(1), Biswas VK(2), Khan SE(2), El-Sayed NM(2)(4)(5), Moody DB(3), Mayer-Barber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lastRenderedPageBreak/>
        <w:t>KD(1), Briken V(2).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(1)Inflammation and Innate Immunity Section, Laboratory of Clinical Immunology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and Microbiology, National Institute of Allergy and Infectious Diseases,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Bethesda, Maryland, USA.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(2)Department of Cell Biology and Molecular Genetics, University of Maryland,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College Park, Maryland, USA.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(3)Division of Rheumatology, Immunity and Inflammation, Brigham and Women's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Hospital, Harvard Medical School, Boston, Massachusetts, USA.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(4)Center for Bioinformatics and Computational Biology, University of Maryland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Institute for Advanced Computer Studies, University of Maryland, College Park,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Maryland, USA.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(5)Center for Bioinformatics, University of Maryland Institute for Health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Computing, North Bethesda, Maryland, USA.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(#)Contributed equally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The serine/threonine protein kinase F (PknF) of Mycobacterium tuberculosis (Mtb)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has poorly defined targets and functions but is involved in limiting NLRP3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inflammasome activation in murine macrophages and dendritic cells in vitro. The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importance of PknF for the virulence of Mtb in vivo is not known. Here, we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demonstrate that the Mtb CDC1551 deletion mutant of pknF (</w:t>
      </w:r>
      <w:r w:rsidRPr="00465EB7">
        <w:rPr>
          <w:rFonts w:ascii="MS Gothic" w:eastAsia="MS Gothic" w:hAnsi="MS Gothic" w:cs="MS Gothic" w:hint="eastAsia"/>
          <w:color w:val="000000" w:themeColor="text1"/>
          <w:szCs w:val="24"/>
        </w:rPr>
        <w:t>∆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pknF) expresses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significantly increased levels of the lipid pthiocerol dimycoserosate (PDIM), a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polyketide lipid with pro-virulence properties. The </w:t>
      </w:r>
      <w:r w:rsidRPr="00465EB7">
        <w:rPr>
          <w:rFonts w:ascii="MS Gothic" w:eastAsia="MS Gothic" w:hAnsi="MS Gothic" w:cs="MS Gothic" w:hint="eastAsia"/>
          <w:color w:val="000000" w:themeColor="text1"/>
          <w:szCs w:val="24"/>
        </w:rPr>
        <w:t>∆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pknF mutant strain compared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with the Mtb and complemented strains showed a 100-fold increase in growth at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day 28 and about a 10-fold increase in growth at days 90-98 in the lungs of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mice. The increase in pulmonary bacterial loads after infection with the </w:t>
      </w:r>
      <w:r w:rsidRPr="00465EB7">
        <w:rPr>
          <w:rFonts w:ascii="MS Gothic" w:eastAsia="MS Gothic" w:hAnsi="MS Gothic" w:cs="MS Gothic" w:hint="eastAsia"/>
          <w:color w:val="000000" w:themeColor="text1"/>
          <w:szCs w:val="24"/>
        </w:rPr>
        <w:t>∆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pknF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strain was conserved even in Nlrp3-deficient mice, arguing that PknF modulates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Mtb virulence independently of NLRP3-inflammasome activation in mice. Staining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of lung sections revealed increased inflammation in the lungs of </w:t>
      </w:r>
      <w:r w:rsidRPr="00465EB7">
        <w:rPr>
          <w:rFonts w:ascii="MS Gothic" w:eastAsia="MS Gothic" w:hAnsi="MS Gothic" w:cs="MS Gothic" w:hint="eastAsia"/>
          <w:color w:val="000000" w:themeColor="text1"/>
          <w:szCs w:val="24"/>
        </w:rPr>
        <w:t>∆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pknF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strain-infected mice when compared with Mtb and the complemented mutant strain.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Highly susceptible B6.Sst1S mice displayed decreased host resistance, with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significantly decreased survival when infected with the </w:t>
      </w:r>
      <w:r w:rsidRPr="00465EB7">
        <w:rPr>
          <w:rFonts w:ascii="MS Gothic" w:eastAsia="MS Gothic" w:hAnsi="MS Gothic" w:cs="MS Gothic" w:hint="eastAsia"/>
          <w:color w:val="000000" w:themeColor="text1"/>
          <w:szCs w:val="24"/>
        </w:rPr>
        <w:t>∆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pknF strain compared to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the complemented strain or Mtb. In conclusion, our data suggest that expression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of PknF, as a modulator of multiple downstream effector proteins, restricts the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virulence of Mtb in the lungs of mice through an NLRP3 inflammasome-independent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mechanism, but potentially via suppressing production of the virulence lipid,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PDIM.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DOI: 10.1128/iai.00698-25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PMID: 42505131</w:t>
      </w:r>
    </w:p>
    <w:p w:rsidR="00465EB7" w:rsidRPr="00465EB7" w:rsidRDefault="00465EB7" w:rsidP="00465EB7">
      <w:pPr>
        <w:rPr>
          <w:rFonts w:ascii="宋体" w:eastAsia="宋体" w:hAnsi="宋体" w:cs="宋体" w:hint="eastAsia"/>
          <w:color w:val="000000" w:themeColor="text1"/>
          <w:szCs w:val="24"/>
        </w:rPr>
      </w:pPr>
    </w:p>
    <w:p w:rsidR="00465EB7" w:rsidRPr="001B72F3" w:rsidRDefault="00EF53A4" w:rsidP="00465EB7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55</w:t>
      </w:r>
      <w:r w:rsidR="00465EB7" w:rsidRPr="001B72F3">
        <w:rPr>
          <w:rFonts w:ascii="宋体" w:eastAsia="宋体" w:hAnsi="宋体" w:cs="宋体"/>
          <w:b/>
          <w:color w:val="FF0000"/>
          <w:szCs w:val="24"/>
        </w:rPr>
        <w:t xml:space="preserve">. mSystems. 2026 Jul 27:e0032926. doi: 10.1128/msystems.00329-26. Online ahead </w:t>
      </w:r>
      <w:r w:rsidR="001B72F3" w:rsidRPr="001B72F3">
        <w:rPr>
          <w:rFonts w:ascii="宋体" w:eastAsia="宋体" w:hAnsi="宋体" w:cs="宋体"/>
          <w:b/>
          <w:color w:val="FF0000"/>
          <w:szCs w:val="24"/>
        </w:rPr>
        <w:t xml:space="preserve">of </w:t>
      </w:r>
      <w:r w:rsidR="00465EB7" w:rsidRPr="001B72F3">
        <w:rPr>
          <w:rFonts w:ascii="宋体" w:eastAsia="宋体" w:hAnsi="宋体" w:cs="宋体"/>
          <w:b/>
          <w:color w:val="FF0000"/>
          <w:szCs w:val="24"/>
        </w:rPr>
        <w:t>print.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Population-level genome sequencing reveals distinct Mycobacterium tuberculosis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intrahost mutational trajectories in simian immunodeficiency virus-coinfected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and antiretroviral treated non-human primates.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Chao MC(1), Chase MR(1), Wakabayashi S(1), Vickers AJ(1), Roman B(1), Hopkins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F(1), Culviner PH(1), Marin MG(2), Maiello P(3)(4), Diedrich CR(4)(5), Ambrose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Z(3)(4), Lin PL(4)(5), Liu Q(6), Fortune SM(1).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(1)Department of Immunology and Infectious Diseases, Harvard T. H. Chan School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of Public Health, Boston, Massachusetts, USA.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(2)Department of Data Science, Dana-Farber Cancer Institute, Boston,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Massachusetts, USA.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(3)Department of Microbiology and Molecular Genetics, University of Pittsburgh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School of Medicine, Pittsburgh, Pennsylvania, USA.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(4)Center for Vaccine Research, University of Pittsburgh School of Medicine,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Pittsburgh, Pennsylvania, USA.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(5)Department of Pediatrics, Children's Hospital of Pittsburgh of the University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of Pittsburgh Medical Center, Pittsburgh, Pennsylvania, USA.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(6)Department of Genetics, University of North Carolina, Chapel Hill, North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Carolina, USA.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Whole-genome sequencing of Mycobacterium tuberculosis (Mtb) populations from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clinical samples has increasingly identified genes undergoing selection within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and between hosts that drive differential infection and treatment outcomes.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However, the intrahost Mtb mutational landscape-especially in the context of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human immunodeficiency virus (HIV) coinfection and antiretroviral therapy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(ART)-remains less clear, as do the potential impacts of such mutations on Mtb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infection dynamics. Here, we performed whole-genome sequencing of Mtb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populations isolated from 477 infected tissues across 20 non-human primates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(NHP), including animals co-infected with simian immunodeficiency virus (SIV)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with or without virological suppression by ART. We identified 116 mutations that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emerged during infection, including those that are overrepresented within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individual tissues and a subset that are shared across tissues during Mtb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dissemination. We further find differential mutation trajectories across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treatment groups, with higher mutation frequency and bacterial outgrowth in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SIV-infected hosts and increased prevalence of oxidative damage-associated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mutations in coinfected animals on ART. Finally, we demonstrate a common pattern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of mutation in Mtb lipid metabolism and polyketide synthase genes and identify a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subset of NHP-derived mutations that have also independently arisen in human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clinical isolates. Together, our population-based sequencing uncovers Mtb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diversification during early infection, captures discrete bacterial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dissemination events, and infers differential immune pressures faced by Mtb in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lastRenderedPageBreak/>
        <w:t>the setting of SIV-Mtb coinfection and ART suppression.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1B72F3">
        <w:rPr>
          <w:rFonts w:ascii="宋体" w:eastAsia="宋体" w:hAnsi="宋体" w:cs="宋体"/>
          <w:b/>
          <w:color w:val="000000" w:themeColor="text1"/>
          <w:szCs w:val="24"/>
        </w:rPr>
        <w:t xml:space="preserve">IMPORTANCE: 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Tuberculosis (TB) remains a leading cause of death worldwide,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especially in people living with HIV (PLHIV). How HIV infection and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antiretroviral therapy impact Mycobacterium tuberculosis (Mtb) intrahost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evolution remains unclear. Using whole-genome sequencing from hundreds of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infected tissues from non-human primates, we find that simian immunodeficiency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virus coinfected hosts and those receiving antiretroviral therapy exert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different immune pressures on Mtb, leading to differences in mutation rates and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types of DNA damage that are incurred. Mtb mutations were enriched in genes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involved in lipid metabolism, and some of these are also seen in human TB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strains. This work highlights the role of immune pressure in altering bacterial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pathways that may enable Mtb adaptation to the host.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DOI: 10.1128/msystems.00329-26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PMID: 42505123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1B72F3" w:rsidRDefault="00EF53A4" w:rsidP="00465EB7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5</w:t>
      </w:r>
      <w:r w:rsidR="00465EB7" w:rsidRPr="001B72F3">
        <w:rPr>
          <w:rFonts w:ascii="宋体" w:eastAsia="宋体" w:hAnsi="宋体" w:cs="宋体"/>
          <w:b/>
          <w:color w:val="FF0000"/>
          <w:szCs w:val="24"/>
        </w:rPr>
        <w:t>6. Clin Transl Sci. 2026 Aug;19(8):e70670. doi: 10.1111/cts.70670.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Genetic Landscape of NAT2 in the Moroccan Population: Implications for Isoniazid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Pharmacogenetics in Tuberculosis.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Benyahya N(1)(2), El-Hamri MA(1)(2)(3), Lyahyai J(2), Ratbi I(2)(4), Cherkaoui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I(2)(4), Rchiad Z(5), Sefiani A(1)(2).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(1)Department of Medical Genetics, National Institute of Hygiene, Rabat,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Morocco.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(2)Research Team in Genomics and Molecular Epidemiology of Genetic Diseases,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Genopath Centre, Faculty of Medicine and Pharmacy of Rabat, University Mohammed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V, Rabat, Morocco.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(3)Physiology and Physiopathology Team, Genomic of Human Pathologies Research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Centre, Mohammed V University in Rabat, Rabat, Morocco.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(4)Unity of Medical Genetics, Children's Hospital, Ibn Sina University Hospital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Center, Faculty of Medicine and Pharmacy, Mohammed V University of Rabat,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Morocco.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(5)Genomics Platform, UM6P Corelab, University Mohammed VI Polytechnique, Ben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Guerir, Morocco.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The NAT2 gene encodes N-acetyltransferase 2, an enzyme critically involved in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the biotransformation of numerous xenobiotics and aromatic amines, including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isoniazid, a cornerstone drug in tuberculosis therapy. Genetic polymorphisms in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NAT2 lead to variable acetylation rates, clinically categorized as poor,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intermediate, or rapid metabolizer phenotypes influencing drug efficacy and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toxicity. This study aims to characterize the NAT2 polymorphisms in 240 Moroccan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individuals using pre-existing clinical exome sequencing data. A total of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fourteen variants were identified in the NAT2 coding region, with the most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frequent being c.341</w:t>
      </w:r>
      <w:r w:rsidRPr="00465EB7">
        <w:rPr>
          <w:rFonts w:ascii="MS Gothic" w:eastAsia="宋体" w:hAnsi="MS Gothic" w:cs="MS Gothic"/>
          <w:color w:val="000000" w:themeColor="text1"/>
          <w:szCs w:val="24"/>
        </w:rPr>
        <w:t> 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T&gt;C (50%), c.803G&gt;A (48.95%), c.481C&gt;T (48.33%), and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c.282C&gt;T (29.16%). Diplotype-based phenotype prediction showed that 148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individuals (61.67%) were poor metabolizers, 71 (29.58%) intermediate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metabolizers, and 14 (5.83%) rapid metabolizers. Seven individuals could not be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classified due to the presence of variants with unreported diplotype-phenotype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correlations. These findings provide a comprehensive pharmacogenetic profile of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NAT2 in the Moroccan population and support the implementation of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diplotype-guided isoniazid dosing strategies in tuberculosis-endemic settings.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 2026 The Author(s). Clinical and Translational Science published by Wiley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 xml:space="preserve">Periodicals LLC on behalf of American Society for Clinical Pharmacology and 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Therapeutics.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DOI: 10.1111/cts.70670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PMCID: PMC13402876</w:t>
      </w:r>
    </w:p>
    <w:p w:rsidR="00465EB7" w:rsidRPr="00465EB7" w:rsidRDefault="00465EB7" w:rsidP="00465EB7">
      <w:pPr>
        <w:rPr>
          <w:rFonts w:ascii="宋体" w:eastAsia="宋体" w:hAnsi="宋体" w:cs="宋体"/>
          <w:color w:val="000000" w:themeColor="text1"/>
          <w:szCs w:val="24"/>
        </w:rPr>
      </w:pPr>
      <w:r w:rsidRPr="00465EB7">
        <w:rPr>
          <w:rFonts w:ascii="宋体" w:eastAsia="宋体" w:hAnsi="宋体" w:cs="宋体"/>
          <w:color w:val="000000" w:themeColor="text1"/>
          <w:szCs w:val="24"/>
        </w:rPr>
        <w:t>PMID: 42504089 [Indexed for MEDLINE]</w:t>
      </w:r>
    </w:p>
    <w:p w:rsidR="00465EB7" w:rsidRPr="001B72F3" w:rsidRDefault="00465EB7" w:rsidP="00465EB7">
      <w:pPr>
        <w:rPr>
          <w:rFonts w:ascii="宋体" w:eastAsia="宋体" w:hAnsi="宋体" w:cs="宋体"/>
          <w:b/>
          <w:color w:val="FF0000"/>
          <w:szCs w:val="24"/>
        </w:rPr>
      </w:pPr>
    </w:p>
    <w:p w:rsidR="00311E11" w:rsidRPr="001B72F3" w:rsidRDefault="00EF53A4" w:rsidP="00311E11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57</w:t>
      </w:r>
      <w:r w:rsidR="00311E11" w:rsidRPr="001B72F3">
        <w:rPr>
          <w:rFonts w:ascii="宋体" w:eastAsia="宋体" w:hAnsi="宋体" w:cs="宋体"/>
          <w:b/>
          <w:color w:val="FF0000"/>
          <w:szCs w:val="24"/>
        </w:rPr>
        <w:t xml:space="preserve">. Asian Biomed (Res Rev News). 2026 Jun 30;20(3):147-148. doi: </w:t>
      </w:r>
    </w:p>
    <w:p w:rsidR="00311E11" w:rsidRPr="001B72F3" w:rsidRDefault="00311E11" w:rsidP="00311E11">
      <w:pPr>
        <w:rPr>
          <w:rFonts w:ascii="宋体" w:eastAsia="宋体" w:hAnsi="宋体" w:cs="宋体"/>
          <w:b/>
          <w:color w:val="FF0000"/>
          <w:szCs w:val="24"/>
        </w:rPr>
      </w:pPr>
      <w:r w:rsidRPr="001B72F3">
        <w:rPr>
          <w:rFonts w:ascii="宋体" w:eastAsia="宋体" w:hAnsi="宋体" w:cs="宋体"/>
          <w:b/>
          <w:color w:val="FF0000"/>
          <w:szCs w:val="24"/>
        </w:rPr>
        <w:t>10.2478/abm-2026-0016. eCollection 2026 Jun.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Anti-tuberculosis drug-induced hepatotoxicity in people living with HIV.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Editorial Office of Asian Biomedicine.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DOI: 10.2478/abm-2026-0016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PMCID: PMC13427360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PMID: 42541227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1B72F3" w:rsidRDefault="00EF53A4" w:rsidP="00311E11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58</w:t>
      </w:r>
      <w:r w:rsidR="00311E11" w:rsidRPr="001B72F3">
        <w:rPr>
          <w:rFonts w:ascii="宋体" w:eastAsia="宋体" w:hAnsi="宋体" w:cs="宋体"/>
          <w:b/>
          <w:color w:val="FF0000"/>
          <w:szCs w:val="24"/>
        </w:rPr>
        <w:t xml:space="preserve">. Asian Biomed (Res Rev News). 2026 Jun 30;20(3):170-181. doi: </w:t>
      </w:r>
    </w:p>
    <w:p w:rsidR="00311E11" w:rsidRPr="001B72F3" w:rsidRDefault="00311E11" w:rsidP="00311E11">
      <w:pPr>
        <w:rPr>
          <w:rFonts w:ascii="宋体" w:eastAsia="宋体" w:hAnsi="宋体" w:cs="宋体"/>
          <w:b/>
          <w:color w:val="FF0000"/>
          <w:szCs w:val="24"/>
        </w:rPr>
      </w:pPr>
      <w:r w:rsidRPr="001B72F3">
        <w:rPr>
          <w:rFonts w:ascii="宋体" w:eastAsia="宋体" w:hAnsi="宋体" w:cs="宋体"/>
          <w:b/>
          <w:color w:val="FF0000"/>
          <w:szCs w:val="24"/>
        </w:rPr>
        <w:t>10.2478/abm-2026-0020. eCollection 2026 Jun.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Incidence, risk factors, and outcomes of anti-tuberculosis drug-induced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hepatotoxicity in people with and without HIV in Thailand and the Philippines.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Atuel RCG(1), Gutierrez EA(2), Hiranburana N(3)(4), Apornpong T(3), Ubolyam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S(3), Gler MTS(2), Avihingsanon A(3)(4), Gatechompol S(4)(5), Kerr SJ(5)(6)(7).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(1)School of Global Health, Faculty of Medicine, Chulalongkorn University,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Bangkok 10330, Thailand.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(2)TB HIV Innovations and Clinical Research Corp., Cavite 4118, Philippines.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(3)HIV-NAT, Thai Red Cross AIDS and Infectious Diseases Research Centre, Bangkok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lastRenderedPageBreak/>
        <w:t>10330, Thailand.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(4)Division of Infectious Diseases, Faculty of Medicine, Ramathibodi Hospital,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Mahidol University, Bangkok 10400, Thailand.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(5)Center of Excellence in Tuberculosis, Faculty of Medicine, Chulalongkorn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University, Bangkok 10330, Thailand.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(6)Research Affairs, Faculty of Medicine, Chulalongkorn University, Bangkok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10330, Thailand.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(7)The Kirby Institute, University of New South Wales, Sydney 1002, Australia.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1B72F3">
        <w:rPr>
          <w:rFonts w:ascii="宋体" w:eastAsia="宋体" w:hAnsi="宋体" w:cs="宋体"/>
          <w:b/>
          <w:color w:val="000000" w:themeColor="text1"/>
          <w:szCs w:val="24"/>
        </w:rPr>
        <w:t xml:space="preserve">BACKGROUND: 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Anti-tuberculosis drug-induced hepatotoxicity (DIH) is a common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complication among people living with HIV (PLWH), potentially leading to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treatment interruptions.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1B72F3">
        <w:rPr>
          <w:rFonts w:ascii="宋体" w:eastAsia="宋体" w:hAnsi="宋体" w:cs="宋体"/>
          <w:b/>
          <w:color w:val="000000" w:themeColor="text1"/>
          <w:szCs w:val="24"/>
        </w:rPr>
        <w:t>OBJECTIVE: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 To determine the incidence of DIH and identify risk factors in Thai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and Filipino PLWH on tuberculosis (TB) treatment, compared with those with TB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mono-infection.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1B72F3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 We conducted a cohort study of Thai and Filipino adults with active TB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using retrospective data from Thailand (2000-2024) and prospective data from the </w:t>
      </w:r>
    </w:p>
    <w:p w:rsidR="00311E11" w:rsidRPr="00311E11" w:rsidRDefault="00311E11" w:rsidP="00311E11">
      <w:pPr>
        <w:rPr>
          <w:rFonts w:ascii="宋体" w:eastAsia="宋体" w:hAnsi="宋体" w:cs="宋体" w:hint="eastAsia"/>
          <w:color w:val="000000" w:themeColor="text1"/>
          <w:szCs w:val="24"/>
        </w:rPr>
      </w:pPr>
      <w:r w:rsidRPr="00311E11">
        <w:rPr>
          <w:rFonts w:ascii="宋体" w:eastAsia="宋体" w:hAnsi="宋体" w:cs="宋体" w:hint="eastAsia"/>
          <w:color w:val="000000" w:themeColor="text1"/>
          <w:szCs w:val="24"/>
        </w:rPr>
        <w:t xml:space="preserve">Philippines (2024). DIH was defined as AST or ALT ≥3 times the upper limit of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normal. Logistic regression was used to assess DIH risk factors among PLWH; TB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treatment outcomes were compared by DIH status.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1B72F3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 Among 222 participants (138 PLWH, 84 HIV-negative), median age was 38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years, 63% were male, and median body mass index (BMI) was 18.2 kg/m2. DIH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occurred in 13.8% of PLWH and 9.5% of HIV-negative individuals (P = 0.35), with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median onset at 10 and 3 weeks, respectively. Among PLWH, hepatitis C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co-infection (aOR 5.84, 95% CI 1.51-22.55, P = 0.01) and lower BMI (aOR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0.78/kg/m2, 95% CI 0.63-0.97, P = 0.03) were independently associated with DIH.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Dolutegravir use showed a non-significantly lower DIH risk (OR 0.51, 95%CI, 0.18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- 1.42). TB treatment success was similar between those with and without DIH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(92.6% vs 90.3%); mortality was slightly higher with DIH (3.7% vs 1.5%).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1B72F3">
        <w:rPr>
          <w:rFonts w:ascii="宋体" w:eastAsia="宋体" w:hAnsi="宋体" w:cs="宋体"/>
          <w:b/>
          <w:color w:val="000000" w:themeColor="text1"/>
          <w:szCs w:val="24"/>
        </w:rPr>
        <w:t>CONCLUSIONS: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 Hepatitis C co-infection and low BMI are key risk factors for DIH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among PLWH receiving TB treatment. Despite these risks, DIH did not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significantly impact treatment outcomes.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 2026 Ryan Christopher Geturbos Atuel et al., Chulalongkorn University, Faculty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of Medicine.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DOI: 10.2478/abm-2026-0020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PMCID: PMC13427366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PMID: 42541216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1B72F3" w:rsidRDefault="00EF53A4" w:rsidP="00311E11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59</w:t>
      </w:r>
      <w:r w:rsidR="00311E11" w:rsidRPr="001B72F3">
        <w:rPr>
          <w:rFonts w:ascii="宋体" w:eastAsia="宋体" w:hAnsi="宋体" w:cs="宋体"/>
          <w:b/>
          <w:color w:val="FF0000"/>
          <w:szCs w:val="24"/>
        </w:rPr>
        <w:t>. iScience. 2026 Jul 23;29(8):116792. doi: 10.1016/j</w:t>
      </w:r>
      <w:r w:rsidR="001B72F3" w:rsidRPr="001B72F3">
        <w:rPr>
          <w:rFonts w:ascii="宋体" w:eastAsia="宋体" w:hAnsi="宋体" w:cs="宋体"/>
          <w:b/>
          <w:color w:val="FF0000"/>
          <w:szCs w:val="24"/>
        </w:rPr>
        <w:t xml:space="preserve">.isci.2026.116792. eCollection </w:t>
      </w:r>
      <w:r w:rsidR="00311E11" w:rsidRPr="001B72F3">
        <w:rPr>
          <w:rFonts w:ascii="宋体" w:eastAsia="宋体" w:hAnsi="宋体" w:cs="宋体"/>
          <w:b/>
          <w:color w:val="FF0000"/>
          <w:szCs w:val="24"/>
        </w:rPr>
        <w:t>2026 Aug 21.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Mycobacterium tuberculosis PPE2 protein-derived peptide ameliorates DSS-induced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lastRenderedPageBreak/>
        <w:t>colitis by depleting mast cells.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Kushwaha P(1)(2), Mukhopadhyay S(1).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(1)Laboratory of Molecular Cell Biology, BRIC-Center for DNA Fingerprinting and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Diagnostics, Hyderabad 500039, Telangana, India.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(2)Graduate Studies, Manipal Academy of Higher Education, Manipal 576104,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Karnataka, India.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In the present study, we demonstrated that a synthetic peptide derived from the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Mycobacterium tuberculosis PPE2 protein alleviates dextran sodium sulphate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(DSS)-induced colitis in mice and markedly improves ulcerative colitis (UC)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symptoms, as evidenced by improvement in body weight loss, disease activity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index (DAI) score, colon length, and decrease in myeloperoxidase activity.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PPE2-peptide treatment attenuated the induction of pro-inflammatory cytokines,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enhanced the mRNA levels of tight junction proteins (Occludin, Claudin-1, and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ZO-1), and prevented gut barrier function. PPE2 acts mainly by targeting the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mast cells, as adoptive transfer of mast cells restored the symptoms of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DSS-induced colitis in PPE2-treated mice. We further explored the development of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 combination therapy aimed at targeting multiple pathways involved in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inflammatory bowel disease (IBD) pathogenesis and showed that combination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therapy of PPE2-peptide and mesalazine had better efficacy in improving UC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symptoms. This study highlights a potential therapeutic strategy targeting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fibroblast-mast cell crosstalk in IBD.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 2026 The Author(s).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DOI: 10.1016/j.isci.2026.116792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PMCID: PMC13427529</w:t>
      </w:r>
    </w:p>
    <w:p w:rsidR="00311E11" w:rsidRPr="00311E11" w:rsidRDefault="00591A39" w:rsidP="00311E11">
      <w:pPr>
        <w:rPr>
          <w:rFonts w:ascii="宋体" w:eastAsia="宋体" w:hAnsi="宋体" w:cs="宋体" w:hint="eastAsia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t>PMID: 42541189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591A39" w:rsidRDefault="00EF53A4" w:rsidP="00311E11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60</w:t>
      </w:r>
      <w:r w:rsidR="00311E11" w:rsidRPr="00591A39">
        <w:rPr>
          <w:rFonts w:ascii="宋体" w:eastAsia="宋体" w:hAnsi="宋体" w:cs="宋体"/>
          <w:b/>
          <w:color w:val="FF0000"/>
          <w:szCs w:val="24"/>
        </w:rPr>
        <w:t xml:space="preserve">. Rev Esp Sanid Penit. 2026 Jul 21;28(2):58-66. doi: 10.18176/resp.00125. </w:t>
      </w:r>
    </w:p>
    <w:p w:rsidR="00311E11" w:rsidRPr="00591A39" w:rsidRDefault="00311E11" w:rsidP="00311E11">
      <w:pPr>
        <w:rPr>
          <w:rFonts w:ascii="宋体" w:eastAsia="宋体" w:hAnsi="宋体" w:cs="宋体"/>
          <w:b/>
          <w:color w:val="FF0000"/>
          <w:szCs w:val="24"/>
        </w:rPr>
      </w:pPr>
      <w:r w:rsidRPr="00591A39">
        <w:rPr>
          <w:rFonts w:ascii="宋体" w:eastAsia="宋体" w:hAnsi="宋体" w:cs="宋体"/>
          <w:b/>
          <w:color w:val="FF0000"/>
          <w:szCs w:val="24"/>
        </w:rPr>
        <w:t>eCollection 2026 May-Aug.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Prevalence of latent tuberculosis infection among prison officers in Paraná,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Brazil: a longitudinal study.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Giacomini K(1), de-Souza-Matos CE(1), Arengheri-Vicente M(2), Henke-de-Azevedo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LB(1), Garcia-Velasquez L(3), Defante-Ferreto LE(1).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(1)Western Paraná State University - UNIOESTE Francisco BeltrãoParaná Brazil.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(2)Western Paraná State University - UNIOESTE CascavelParaná Brazil.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lastRenderedPageBreak/>
        <w:t>(3)Paranaense University - UNIPAR Francisco BeltrãoParaná Brazil.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591A39">
        <w:rPr>
          <w:rFonts w:ascii="宋体" w:eastAsia="宋体" w:hAnsi="宋体" w:cs="宋体"/>
          <w:b/>
          <w:color w:val="000000" w:themeColor="text1"/>
          <w:szCs w:val="24"/>
        </w:rPr>
        <w:t xml:space="preserve">OBJECTIVES: 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To evaluate the baseline prevalence of latent tuberculosis infection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(LTBI) and longitudinal changes in interferon-gamma release assay (IGRA)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positivity among male and female prison officers in Paraná, Brazil.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591A39">
        <w:rPr>
          <w:rFonts w:ascii="宋体" w:eastAsia="宋体" w:hAnsi="宋体" w:cs="宋体"/>
          <w:b/>
          <w:color w:val="000000" w:themeColor="text1"/>
          <w:szCs w:val="24"/>
        </w:rPr>
        <w:t xml:space="preserve">MATERIAL AND METHOD: 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 longitudinal study was conducted with prison officers in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direct contact with inmates. LTBI was diagnosed using the QuantiFERON-TB® Gold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Plus (IGRA) test.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591A39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 The proportion of IGRA-positive individuals decreased from 22.6% in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2022 to 5.7% in 2024. However, increases were observed in cigarette consumption,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alcohol use, and daily consumption of medications.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591A39">
        <w:rPr>
          <w:rFonts w:ascii="宋体" w:eastAsia="宋体" w:hAnsi="宋体" w:cs="宋体"/>
          <w:b/>
          <w:color w:val="000000" w:themeColor="text1"/>
          <w:szCs w:val="24"/>
        </w:rPr>
        <w:t xml:space="preserve">DISCUSSION: 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The findings highlight the importance of periodic monitoring of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latent tuberculosis infection and strengthening occupational health promotion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strategies for prison officers.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DOI: 10.18176/resp.00125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PMCID: PMC13426109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PMID: 42540516 [Indexed for MEDLINE]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591A39" w:rsidRDefault="00311E11" w:rsidP="00311E11">
      <w:pPr>
        <w:rPr>
          <w:rFonts w:ascii="宋体" w:eastAsia="宋体" w:hAnsi="宋体" w:cs="宋体"/>
          <w:b/>
          <w:color w:val="FF0000"/>
          <w:szCs w:val="24"/>
        </w:rPr>
      </w:pPr>
      <w:r w:rsidRPr="00591A39">
        <w:rPr>
          <w:rFonts w:ascii="宋体" w:eastAsia="宋体" w:hAnsi="宋体" w:cs="宋体"/>
          <w:b/>
          <w:color w:val="FF0000"/>
          <w:szCs w:val="24"/>
        </w:rPr>
        <w:t>6</w:t>
      </w:r>
      <w:r w:rsidR="00EF53A4">
        <w:rPr>
          <w:rFonts w:ascii="宋体" w:eastAsia="宋体" w:hAnsi="宋体" w:cs="宋体"/>
          <w:b/>
          <w:color w:val="FF0000"/>
          <w:szCs w:val="24"/>
        </w:rPr>
        <w:t>1</w:t>
      </w:r>
      <w:r w:rsidRPr="00591A39">
        <w:rPr>
          <w:rFonts w:ascii="宋体" w:eastAsia="宋体" w:hAnsi="宋体" w:cs="宋体"/>
          <w:b/>
          <w:color w:val="FF0000"/>
          <w:szCs w:val="24"/>
        </w:rPr>
        <w:t xml:space="preserve">. Front Med (Lausanne). 2026 Jul 17;13:1777156. doi: 10.3389/fmed.2026.1777156. </w:t>
      </w:r>
    </w:p>
    <w:p w:rsidR="00311E11" w:rsidRPr="00591A39" w:rsidRDefault="00311E11" w:rsidP="00311E11">
      <w:pPr>
        <w:rPr>
          <w:rFonts w:ascii="宋体" w:eastAsia="宋体" w:hAnsi="宋体" w:cs="宋体"/>
          <w:b/>
          <w:color w:val="FF0000"/>
          <w:szCs w:val="24"/>
        </w:rPr>
      </w:pPr>
      <w:r w:rsidRPr="00591A39">
        <w:rPr>
          <w:rFonts w:ascii="宋体" w:eastAsia="宋体" w:hAnsi="宋体" w:cs="宋体"/>
          <w:b/>
          <w:color w:val="FF0000"/>
          <w:szCs w:val="24"/>
        </w:rPr>
        <w:t>eCollection 2026.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Hybrid eclipse: a case of isolated renal tuberculosis with an unusual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infectious-inflammatory-neoplastic triad.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Dharwadkar S(1), Ramu V(1), Chittaragi KB(2), Sathish S(3), Das SK(2), Sehgal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S(1).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(1)Department of Urology, JSS Medical College, JSSAHER, Mysuru, India.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(2)Department of Radiology, JSS Medical College, JSSAHER, Mysuru, India.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(3)Department of Pathology, JSS Medical College, JSSAHER, Mysuru, India.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Isolated renal tuberculosis (RTB) is a rare extrapulmonary manifestation of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tuberculosis that often mimics common urinary tract infections, resulting in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delayed diagnosis and complications. We report an exceptionally rare case of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isolated RTB presenting with a spectrum of destructive sequelae-including a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perinephric abscess with a nephrocutaneous fistula, renal replacement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lipomatosis (RRL), and synchronous clear cell renal cell carcinoma (RCC) within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 single kidney. We report the case of a 77-year-old diabetic man who presented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with left loin pain and chronic lumbar sinus discharge. Multiphase computed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tomography (CT) revealed an enlarged, distorted kidney with extensive sinus and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perinephric fat proliferation consistent with RRL; a hyperenhancing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superior-pole mass suggestive of RCC; calyceal distortion and infundibular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stenosis suspicious for RTB; and a perinephric abscess with a cutaneous fistula.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Radical nephrectomy was performed, and histopathological examination confirmed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renal tuberculosis and its associated complications. Subsequent antitubercular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therapy (ATT) resulted in stable clinical and functional outcomes. To the best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of our knowledge, this is the first reported case demonstrating this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constellation of infectious-inflammatory-neoplastic pathologies within a single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kidney. This case highlights the indolent yet destructive nature of isolated RTB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and emphasizes the role of early imaging and histopathology for timely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diagnosis, prevention of serious complications, and an improved prognosis.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Copyright © 2026 Dharwadkar, Ramu, Chittaragi, Sathish, Das and Sehgal.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DOI: 10.3389/fmed.2026.1777156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PMCID: PMC13425137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PMID: 42540128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591A39" w:rsidRDefault="00EF53A4" w:rsidP="00311E11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6</w:t>
      </w:r>
      <w:r w:rsidR="00311E11" w:rsidRPr="00591A39">
        <w:rPr>
          <w:rFonts w:ascii="宋体" w:eastAsia="宋体" w:hAnsi="宋体" w:cs="宋体"/>
          <w:b/>
          <w:color w:val="FF0000"/>
          <w:szCs w:val="24"/>
        </w:rPr>
        <w:t xml:space="preserve">2. Tuberculosis (Edinb). 2026 Jul 20;160:102797. doi: 10.1016/j.tube.2026.102797. </w:t>
      </w:r>
    </w:p>
    <w:p w:rsidR="00311E11" w:rsidRPr="00591A39" w:rsidRDefault="00311E11" w:rsidP="00311E11">
      <w:pPr>
        <w:rPr>
          <w:rFonts w:ascii="宋体" w:eastAsia="宋体" w:hAnsi="宋体" w:cs="宋体"/>
          <w:b/>
          <w:color w:val="FF0000"/>
          <w:szCs w:val="24"/>
        </w:rPr>
      </w:pPr>
      <w:r w:rsidRPr="00591A39">
        <w:rPr>
          <w:rFonts w:ascii="宋体" w:eastAsia="宋体" w:hAnsi="宋体" w:cs="宋体"/>
          <w:b/>
          <w:color w:val="FF0000"/>
          <w:szCs w:val="24"/>
        </w:rPr>
        <w:t>Online ahead of print.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Drug resistance in tuberculous meningitis: A laboratory-based observational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study from Northern India's tertiary care referral centre.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Kuntal K(1), Singh M(2), Jain P(3), Ratnam R(4), Singh U(5), Kumar V(6).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(1)Department of Microbiology, King George's Medical University, Lucknow, Uttar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Pradesh, India. Electronic address: ktsk221292@gmail.com.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(2)Department of Microbiology, King George's Medical University, Lucknow, Uttar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Pradesh, India. Electronic address: rathorems0501@gmail.com.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(3)Department of Microbiology, King George's Medical University, Lucknow, Uttar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Pradesh, India. Electronic address: irluplno@rntcp.org.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(4)Department of Microbiology, King George's Medical University, Lucknow, Uttar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Pradesh, India. Electronic address: rashmiratnam19@gmail.com.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(5)Department of Microbiology, King George's Medical University, Lucknow, Uttar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Pradesh, India. Electronic address: Sonasona0202@gmail.com.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(6)Department of Microbiology, King George's Medical University, Lucknow, Uttar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Pradesh, India. Electronic address: vijayadav@gmail.com.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Tuberculous meningitis (TBM) is the most severe form of tuberculosis and is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associated with high mortality and long-term neurological disability. Detection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of drug resistance remains challenging because cerebrospinal fluid (CSF)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specimens are typically paucibacillary and often available only in limited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volumes. This retrospective laboratory based study characterized drug-resistance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patterns and diagnostic attrition across the laboratory testing cascade using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CSF samples from patients with presumed TBM referred between January 2023 and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December 2025 in a high tuberculosis-burden setting. Samples underwent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Mycobacterium tuberculosis cartridge-based nucleic acid amplification testing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(CBNAAT), automated liquid culture, line probe assays and phenotypic drug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susceptibility testing according to national guidelines. Of 8926 CSF samples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tested by CBNAAT, 812 (9.0%) were positive for M. tuberculosis. Rifampicin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resistance was detected in 17.0% (138/812; 95% CI: 14.6-19.7) of positive cases.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Only 837 samples had sufficient volume for culture, of which 58 (6.9%; 95% CI: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5.4-8.9) were culture-positive. Among these isolates, 29 (50.0%; 95% CI: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37.5-62.5) were multidrug resistant (MDR-TB). Six MDR isolates were also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fluoroquinolone resistant, including one extensively drug-resistant (XDR-TB)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isolate. These findings demonstrate a high burden of drug resistance,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substantial diagnostic attrition, and the need to expand access to comprehensive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drug-susceptibility testing in TBM.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Copyright © 2026. Published by Elsevier Ltd.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DOI: 10.1016/j.tube.2026.102797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PMID: 42537574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591A39" w:rsidRDefault="00EF53A4" w:rsidP="00311E11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6</w:t>
      </w:r>
      <w:r w:rsidR="00311E11" w:rsidRPr="00591A39">
        <w:rPr>
          <w:rFonts w:ascii="宋体" w:eastAsia="宋体" w:hAnsi="宋体" w:cs="宋体"/>
          <w:b/>
          <w:color w:val="FF0000"/>
          <w:szCs w:val="24"/>
        </w:rPr>
        <w:t>3. Niger J Physiol Sci. 2026 Jun 30;41(1):43-47.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Nutritional status, serum tryptophan and indole proprionic acid in pulmonary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tuberculosis patients.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Adedeji OO, Bakarey AS, Joseph TA, Arinola OG.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Despite evidence suggesting that Mycobacterium tuberculosis induces tryptophan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depletion, microbiota dysbiosis and ultimately immune dysfunction, no data exist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on serum levels of tryptophan and microbiota-metabolite (indole proprionic acid,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IPA) in Nigerian TB patients. This study determined anthropo-nutritional status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[Body Mass Index(BMI), Mid-Upper Arm Circumference(MUAC), Waist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Circumference(WC), Hip Circumference(HC)], and Simplified Nutritional Appetite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Questionnaire(SNAQ) scores, serum albumin, tryptophan and IPA in Nigerian PTB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patients using questionnaire and ELISA as appropriate. Higher prevalence of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DS-TB(92%) than MDR-TB(19%) or control(4%) showed appetite loss with a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clinically meaningful risk of 5% weight loss within six months. The BMI, MUAC,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WC, HC and SNAQ scores were significantly reduced in DS-TB patients or MDR-TB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patients compared with control. The MUAC, WC, HC and SNAQ scores were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significantly reduced in DS-TB patients compared with MDR-TB patients. The serum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levels of albumin were not significantly reduced while the levels of IPA were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not significantly increased in DS-TB patients or MDR-TB patients compared with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control. The serum levels of tryptophan were significantly increased in DS-TB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patients or MDR-TB patients compared with control. Our findings revealed a need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for tryptophan-based management for PTB patients and that PTB is an infectious,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metabolic and nutritional disease.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PMID: 42537034 [Indexed for MEDLINE]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591A39" w:rsidRDefault="00EF53A4" w:rsidP="00311E11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64</w:t>
      </w:r>
      <w:r w:rsidR="00311E11" w:rsidRPr="00591A39">
        <w:rPr>
          <w:rFonts w:ascii="宋体" w:eastAsia="宋体" w:hAnsi="宋体" w:cs="宋体"/>
          <w:b/>
          <w:color w:val="FF0000"/>
          <w:szCs w:val="24"/>
        </w:rPr>
        <w:t>. JMIR Res Protoc. 2026 Jul 14. doi: 10.2196/79438. Online ahead of print.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Collision of three global pandemics: the effect of tuberculosis and HIV on the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epidemiological, clinical, virological, and immunological trajectory of COVID-19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in Botswana and Namibia (Core-NB) - a protocol for a prospective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case-ascertained and surveillance study.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Diergaardt A(1), Iipumbu E(1), Netha S(1), Steenkamp P(2), Shiweva L(1), Kizito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B(3), Günther G(4)(1), Nepolo E(1), Woldetsadik T(5), Niemann S(6), Modongo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C(3), Claassens M(1)(7).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(1)University of Namibia, School of Medicine, Bach Street, Windhoek, NA.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(2)Health Poverty Action, Gobabis, NA.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(3)Victus Global Botswana Organization, Gabarone, BW.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(4)Department of Pulmonology, Allergologie and Clinical Immunologie,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Inselspital, Bern University Hospital, University of Bern, Bern, CH.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(5)Health Poverty Action, London, GB.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(6)Research Center Borstel, Borstel, DE.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(7)Desmond Tutu Tuberculosis Centre, Department of Pediatrics and Child Health,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Faculty of Medicine and Health Sciences, Stellenbosch University, Tygerberg, ZA.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591A39">
        <w:rPr>
          <w:rFonts w:ascii="宋体" w:eastAsia="宋体" w:hAnsi="宋体" w:cs="宋体"/>
          <w:b/>
          <w:color w:val="000000" w:themeColor="text1"/>
          <w:szCs w:val="24"/>
        </w:rPr>
        <w:t xml:space="preserve">BACKGROUND: 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In December 2019, the emergence of Coronavirus disease (COVID-19)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caused by severe acute respiratory syndrome coronavirus 2 (SARS-CoV-2) led to a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global pandemic, impacting over 620 million people, including approximately nine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million in Africa. The COVID-19 pandemic introduced uncertainties, especially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regarding co-infections, such as tuberculosis (TB) and human immunodeficiency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virus (HIV). TB and HIV, both global pandemics, disproportionately affect low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and middle-income countries. Namibia and Botswana reported high mortality rates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due to TB and HIV which highlights ongoing challenges. This paper outlines the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protocol for a comprehensive research study addressing the gaps, focusing on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Botswana and Namibia, to enhance disease management for COVID-19 and TB/HIV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especially when co-infections occur.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591A39">
        <w:rPr>
          <w:rFonts w:ascii="宋体" w:eastAsia="宋体" w:hAnsi="宋体" w:cs="宋体"/>
          <w:b/>
          <w:color w:val="000000" w:themeColor="text1"/>
          <w:szCs w:val="24"/>
        </w:rPr>
        <w:t xml:space="preserve">OBJECTIVE: 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The central hypothesis was that TB and HIV co-infection increase risk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of adverse clinical, immunological, and virological COVID-19 outcomes.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METHODS: Core-NB was a prospective clinical cohort of COVID-19 patients with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case identification through facility-based surveillance. The objectives were (i)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to characterize the early COVID-19 epidemic in conjunction with TB and HIV, in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terms of clinical, epidemiological, virological and immunological data, by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conducting a household transmission study, and (ii) to conduct targeted COVID-19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screening and testing in conjunction with TB and HIV case finding, by conducting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 primary healthcare facility (PHC) surveillance study. For (i) participants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were identified based on laboratory RT-PCR confirmation of their COVID-19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infection at Ministry of Health designated laboratories in each country, and for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(ii), attendees of primary healthcare facilities independent of the reason for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attending were enrolled.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591A39">
        <w:rPr>
          <w:rFonts w:ascii="宋体" w:eastAsia="宋体" w:hAnsi="宋体" w:cs="宋体"/>
          <w:b/>
          <w:color w:val="000000" w:themeColor="text1"/>
          <w:szCs w:val="24"/>
        </w:rPr>
        <w:t xml:space="preserve">RESULTS: 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Primary health care participants and their household contacts who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agreed to participate in the study had home visits, including an initial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enrollment visit at Day 1 (the day of COVID-19 diagnosis for the index case) and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three follow-up visits occurring within 28 days of enrollment. Additionally,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there were telephonic follow-ups three months after enrollment. Information on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age, sex, race, occupation, income, and educational attainment was collected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using a standardized questionnaire for all participants. Three respiratory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specimens were obtained from each participant for: (i) SARS-CoV-2 RNA extraction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and PCR (nasopharyngeal swab), (ii) GeneXpert Ultra for active TB (sputum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sample) and (iii) extra sputum sample in case of a negative nasopharyngeal swab,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mishandling or contamination. Enrollment was completed in February 2024 and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analyses are ongoing. Preliminary results were presented at international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conferences.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591A39">
        <w:rPr>
          <w:rFonts w:ascii="宋体" w:eastAsia="宋体" w:hAnsi="宋体" w:cs="宋体"/>
          <w:b/>
          <w:color w:val="000000" w:themeColor="text1"/>
          <w:szCs w:val="24"/>
        </w:rPr>
        <w:t>CONCLUSIONS: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 This study will strengthen COVID-19, TB and HIV diagnosis,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surveillance and control by: (i) high resolution surveillance and transmission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data to guide guidelines and policies, (ii) data to develop further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interventions, (iii) implementation of new technologies to improve care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provision and boost the cooperation of stakeholders, (iv) supporting the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development of skills and expertise in-country and (v) adding to evidence to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build a regional network of expertise in the COVID-19, TB and HIV co-epidemics.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CLINICALTRIAL: Clinicaltrials.gov number NCT05268380.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INTERNATIONAL REGISTERED REPORT: DERR1-10.2196/79438.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DOI: 10.2196/79438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PMID: 42536414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591A39" w:rsidRDefault="00EF53A4" w:rsidP="00311E11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65</w:t>
      </w:r>
      <w:r w:rsidR="00311E11" w:rsidRPr="00591A39">
        <w:rPr>
          <w:rFonts w:ascii="宋体" w:eastAsia="宋体" w:hAnsi="宋体" w:cs="宋体"/>
          <w:b/>
          <w:color w:val="FF0000"/>
          <w:szCs w:val="24"/>
        </w:rPr>
        <w:t>. Cureus. 2026 Jun 29;18(6):e111776. doi: 10.7759/c</w:t>
      </w:r>
      <w:r w:rsidR="00591A39" w:rsidRPr="00591A39">
        <w:rPr>
          <w:rFonts w:ascii="宋体" w:eastAsia="宋体" w:hAnsi="宋体" w:cs="宋体"/>
          <w:b/>
          <w:color w:val="FF0000"/>
          <w:szCs w:val="24"/>
        </w:rPr>
        <w:t xml:space="preserve">ureus.111776. eCollection 2026 </w:t>
      </w:r>
      <w:r w:rsidR="00311E11" w:rsidRPr="00591A39">
        <w:rPr>
          <w:rFonts w:ascii="宋体" w:eastAsia="宋体" w:hAnsi="宋体" w:cs="宋体"/>
          <w:b/>
          <w:color w:val="FF0000"/>
          <w:szCs w:val="24"/>
        </w:rPr>
        <w:t>Jun.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Peripancreatic Tuberculosis Mimicking Metastatic Pancreatic Malignancy With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Hepatic Lesions.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Raeiskarimi S(1), Nikbakht G(2), Zarei F(3).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(1)Shiraz Medical School, Shiraz University of Medical Sciences, Shiraz, IRN.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(2)Department of Infectious Diseases, Yasuj University of Medical Sciences,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lastRenderedPageBreak/>
        <w:t>Yasuj, IRN.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(3)Department of Radiology, Medical Imaging Research Center, Shiraz University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of Medical Sciences, Shiraz, IRN.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 61-year-old woman presented with chronic constipation, epigastric pain,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intermittent fever, night sweats, anorexia, and marked weight loss. Imaging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showed porta hepatis and peripancreatic lymphadenopathy, small hepatic lesions,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and a pancreatic-region lesion, raising concern for metastatic pancreatic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malignancy or lymphoma. The initial liver biopsy was negative for metastatic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carcinoma and lymphoma. Surgery was considered but canceled after magnetic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resonance cholangiopancreatography did not confirm a definite pancreatic mass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requiring operative management. A repeat core biopsy of the presumed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pancreatic-region lesion sampled lymph node tissue and showed caseating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granulomatous inflammation with positive acid-fast staining. PCR testing later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confirmed Mycobacterium tuberculosis complex DNA. Four-drug antituberculous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therapy was started before PCR confirmation because the pathology and acid-fast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staining strongly supported tuberculosis. The patient improved clinically and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biochemically after treatment. This case supports that repeat targeted tissue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sampling should be pursued when malignancy-like pancreatic-region findings are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discordant with pathology, particularly in tuberculosis-endemic settings.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Copyright © 2026, Raeiskarimi et al.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DOI: 10.7759/cureus.111776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PMCID: PMC13423045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PMID: 42535133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591A39" w:rsidRDefault="00EF53A4" w:rsidP="00311E11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66</w:t>
      </w:r>
      <w:r w:rsidR="00311E11" w:rsidRPr="00591A39">
        <w:rPr>
          <w:rFonts w:ascii="宋体" w:eastAsia="宋体" w:hAnsi="宋体" w:cs="宋体"/>
          <w:b/>
          <w:color w:val="FF0000"/>
          <w:szCs w:val="24"/>
        </w:rPr>
        <w:t>. Cureus. 2026 Jun 30;18(6):e111822. doi: 10.7759/c</w:t>
      </w:r>
      <w:r w:rsidR="00591A39" w:rsidRPr="00591A39">
        <w:rPr>
          <w:rFonts w:ascii="宋体" w:eastAsia="宋体" w:hAnsi="宋体" w:cs="宋体"/>
          <w:b/>
          <w:color w:val="FF0000"/>
          <w:szCs w:val="24"/>
        </w:rPr>
        <w:t xml:space="preserve">ureus.111822. eCollection 2026 </w:t>
      </w:r>
      <w:r w:rsidR="00311E11" w:rsidRPr="00591A39">
        <w:rPr>
          <w:rFonts w:ascii="宋体" w:eastAsia="宋体" w:hAnsi="宋体" w:cs="宋体"/>
          <w:b/>
          <w:color w:val="FF0000"/>
          <w:szCs w:val="24"/>
        </w:rPr>
        <w:t>Jun.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 Case Series of Tuberculous Pericarditis: Clinical Profiles and Diagnostic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Challenges.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Kour I(1), Singhal A(2), Aysha N(1), Gupta V(1), Singhal L(1).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(1)Microbiology, Government Medical College &amp;amp; Hospital (GMCH), Chandigarh,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IND.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(2)Internal Medicine, Maharishi Markandeshwar (MM) Institute of Medical Sciences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&amp;amp; Research, Mullana, IND.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Tuberculous pericarditis (TBP) is an uncommon but serious manifestation of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extrapulmonary tuberculosis, accounting for approximately 1-2% of extrapulmonary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tuberculosis (TB) cases. Its diagnosis remains challenging because of the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paucibacillary nature of the infection and the limited sensitivity of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conventional diagnostic methods. Patients suspected of having tuberculous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pericarditis between 2022 and 2024 were analyzed in this prospective case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series. Various diagnostic tests were performed in suspected cases of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tuberculous pericarditis, and the Cartridge-Based Nucleic Acid Amplification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Test (CBNAAT) detected Mycobacterium tuberculosis in three samples. Clinical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data, radiological findings, pericardial fluid characteristics, and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microbiological test results were reviewed and analyzed for the patients with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tuberculous pericarditis. Our study suggests that men in the middle to older age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groups may be at higher risk. The most common clinical findings were fever,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dyspnoea, and pericardial effusion. This study highlights the heterogeneous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clinical and laboratory profile of TBP, which can occur in diverse patient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populations, ranging from immunocompromised individuals to otherwise healthy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adults.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Copyright © 2026, Kour et al.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DOI: 10.7759/cureus.111822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PMCID: PMC13422793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PMID: 42535122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591A39" w:rsidRDefault="00EF53A4" w:rsidP="00311E11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67</w:t>
      </w:r>
      <w:r w:rsidR="00311E11" w:rsidRPr="00591A39">
        <w:rPr>
          <w:rFonts w:ascii="宋体" w:eastAsia="宋体" w:hAnsi="宋体" w:cs="宋体"/>
          <w:b/>
          <w:color w:val="FF0000"/>
          <w:szCs w:val="24"/>
        </w:rPr>
        <w:t xml:space="preserve">. Open Forum Infect Dis. 2026 Jul 22;13(7):ofag448. doi: 10.1093/ofid/ofag448. </w:t>
      </w:r>
    </w:p>
    <w:p w:rsidR="00311E11" w:rsidRPr="00591A39" w:rsidRDefault="00311E11" w:rsidP="00311E11">
      <w:pPr>
        <w:rPr>
          <w:rFonts w:ascii="宋体" w:eastAsia="宋体" w:hAnsi="宋体" w:cs="宋体"/>
          <w:b/>
          <w:color w:val="FF0000"/>
          <w:szCs w:val="24"/>
        </w:rPr>
      </w:pPr>
      <w:r w:rsidRPr="00591A39">
        <w:rPr>
          <w:rFonts w:ascii="宋体" w:eastAsia="宋体" w:hAnsi="宋体" w:cs="宋体"/>
          <w:b/>
          <w:color w:val="FF0000"/>
          <w:szCs w:val="24"/>
        </w:rPr>
        <w:t>eCollection 2026 Jul.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Emergence of Integrase Strand Transfer Inhibitor Resistance Following Treatment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of Latent Tuberculosis Infection in a Patient With HIV.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Dyer E(1), Sunagawa SW(2), Regan N(1), Davis JM(1), Bares SH(1).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(1)Division of Infectious Diseases, University of Nebraska Medical Center,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College of Medicine, Omaha, Nebraska, USA.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(2)Department of Pharmacy Practice and Science, University of Nebraska Medical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Center, College of Pharmacy, Omaha, Nebraska, USA.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We present a case of emergent integrase strand transfer inhibitor resistance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following rifamycin-based latent tuberculosis infection (LTBI) treatment in a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patient with HIV-1This case highlights the risks associated with modifying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antiretroviral therapy during LTBI treatment and illustrates how archived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genotype results can directly impact clinical decision-making.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 The Author(s) 2026. Published by Oxford University Press on behalf of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Infectious Diseases Society of America.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lastRenderedPageBreak/>
        <w:t>DOI: 10.1093/ofid/ofag448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PMCID: PMC13420512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PMID: 42534555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591A39" w:rsidRDefault="00EF53A4" w:rsidP="00311E11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68</w:t>
      </w:r>
      <w:r w:rsidR="00311E11" w:rsidRPr="00591A39">
        <w:rPr>
          <w:rFonts w:ascii="宋体" w:eastAsia="宋体" w:hAnsi="宋体" w:cs="宋体"/>
          <w:b/>
          <w:color w:val="FF0000"/>
          <w:szCs w:val="24"/>
        </w:rPr>
        <w:t xml:space="preserve">. Rev Peru Med Exp Salud Publica. 2026 Jun 24;43(2):273-277. doi: </w:t>
      </w:r>
    </w:p>
    <w:p w:rsidR="00311E11" w:rsidRPr="00591A39" w:rsidRDefault="00311E11" w:rsidP="00311E11">
      <w:pPr>
        <w:rPr>
          <w:rFonts w:ascii="宋体" w:eastAsia="宋体" w:hAnsi="宋体" w:cs="宋体"/>
          <w:b/>
          <w:color w:val="FF0000"/>
          <w:szCs w:val="24"/>
        </w:rPr>
      </w:pPr>
      <w:r w:rsidRPr="00591A39">
        <w:rPr>
          <w:rFonts w:ascii="宋体" w:eastAsia="宋体" w:hAnsi="宋体" w:cs="宋体"/>
          <w:b/>
          <w:color w:val="FF0000"/>
          <w:szCs w:val="24"/>
        </w:rPr>
        <w:t>10.17843/rpmesp.2026.432.15677.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Disseminated endometrial tuberculosis simulating endometrial cancer in an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immunocompetent patient: a case report.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[Article in English, Spanish; Abstract available in Spanish from the publisher]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Vera-Vera JV(1), Landa-Huaman CK(1), Romero-Aliaga MA(1), Garayar-Burneo FR(1).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(1)Hospital Nacional Edgardo Rebagliati Martins, Lima, Peru.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The case of a 58-year-old immunocompetent woman with no relevant medical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history, presenting with pelvic pain and postmenopausal bleeding, is reported.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Imaging studies revealed findings compatible with disseminated endometrial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cancer, including pulmonary lesions suspicious for metastasis, for which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advanced gynecological cancer was initially presumed; however, endometrial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biopsy showed necrotizing granulomas with acid-fast bacilli, confirming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endometrial tuberculosis (TB). Likewise, pulmonary TB involvement was evidenced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(positive sputum smear), establishing the final diagnosis of disseminated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TBsimulating a gynecological cancer. The patient received standard anti-TB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treatment for six months, with complete remission of symptoms. A post-treatment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follow-up biopsy was negative for TB. This case emphasizes the importance of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considering genital TB in the differential diagnosis of gynecological neoplasms,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even in immunocompetent postmenopausal patients, especially in TB-endemic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regions, to ensure timely diagnosis and management.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DOI: 10.17843/rpmesp.2026.432.15677</w:t>
      </w:r>
    </w:p>
    <w:p w:rsidR="00311E11" w:rsidRPr="00591A39" w:rsidRDefault="00311E11" w:rsidP="00311E11">
      <w:pPr>
        <w:rPr>
          <w:rFonts w:ascii="宋体" w:eastAsia="宋体" w:hAnsi="宋体" w:cs="宋体" w:hint="eastAsia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PMID:</w:t>
      </w:r>
      <w:r w:rsidR="00591A39">
        <w:rPr>
          <w:rFonts w:ascii="宋体" w:eastAsia="宋体" w:hAnsi="宋体" w:cs="宋体"/>
          <w:color w:val="000000" w:themeColor="text1"/>
          <w:szCs w:val="24"/>
        </w:rPr>
        <w:t xml:space="preserve"> 42531592 [Indexed for MEDLINE]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591A39" w:rsidRDefault="00EF53A4" w:rsidP="00311E11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69</w:t>
      </w:r>
      <w:r w:rsidR="00311E11" w:rsidRPr="00591A39">
        <w:rPr>
          <w:rFonts w:ascii="宋体" w:eastAsia="宋体" w:hAnsi="宋体" w:cs="宋体"/>
          <w:b/>
          <w:color w:val="FF0000"/>
          <w:szCs w:val="24"/>
        </w:rPr>
        <w:t xml:space="preserve">. Rev Peru Med Exp Salud Publica. 2026 Jun 22;43(2):160-170. doi: </w:t>
      </w:r>
    </w:p>
    <w:p w:rsidR="00311E11" w:rsidRPr="00591A39" w:rsidRDefault="00311E11" w:rsidP="00311E11">
      <w:pPr>
        <w:rPr>
          <w:rFonts w:ascii="宋体" w:eastAsia="宋体" w:hAnsi="宋体" w:cs="宋体"/>
          <w:b/>
          <w:color w:val="FF0000"/>
          <w:szCs w:val="24"/>
        </w:rPr>
      </w:pPr>
      <w:r w:rsidRPr="00591A39">
        <w:rPr>
          <w:rFonts w:ascii="宋体" w:eastAsia="宋体" w:hAnsi="宋体" w:cs="宋体"/>
          <w:b/>
          <w:color w:val="FF0000"/>
          <w:szCs w:val="24"/>
        </w:rPr>
        <w:t>10.17843/rpmesp.2026.432.15170.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Partial evaluation of fidelity in the implementation of tuberculosis preventive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treatment in people living with HIV in Paraguay: an implementation science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study.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[Article in English, Spanish; Abstract available in Spanish from the publisher]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lastRenderedPageBreak/>
        <w:t>Duarte-Zoilan D(1), Arbeláez Montoya MP(1), Benjumea-Bedoya D(1).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(1)Universidad de Antioquia, Facultad Nacional de Salud Pública, Grupo de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Epidemiología, Medellín, Colombia.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591A39">
        <w:rPr>
          <w:rFonts w:ascii="宋体" w:eastAsia="宋体" w:hAnsi="宋体" w:cs="宋体"/>
          <w:b/>
          <w:color w:val="000000" w:themeColor="text1"/>
          <w:szCs w:val="24"/>
        </w:rPr>
        <w:t>OBJECTIVES: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 To evaluate self-reported adherence to the essential components of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tuberculosis preventive treatment (TPT), as an estimate of partial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implementation fidelity, and to explore the moderating factors influencing its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implementation in two referral services in the Central Department, Paraguay.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591A39">
        <w:rPr>
          <w:rFonts w:ascii="宋体" w:eastAsia="宋体" w:hAnsi="宋体" w:cs="宋体"/>
          <w:b/>
          <w:color w:val="000000" w:themeColor="text1"/>
          <w:szCs w:val="24"/>
        </w:rPr>
        <w:t>MATERIALS AND METHODS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: A descriptive observational mixed-methods study with a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convergent parallel design (January-May 2023) was conducted in two referral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centers for people living with HIV. Partial implementation fidelity was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estimated through self-reported adherence to the content and frequency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dimensions of TPT implementation according to the National Tuberculosis Guide.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Semi-structured interviews were conducted with key stakeholders to identify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barriers and facilitators.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591A39">
        <w:rPr>
          <w:rFonts w:ascii="宋体" w:eastAsia="宋体" w:hAnsi="宋体" w:cs="宋体"/>
          <w:b/>
          <w:color w:val="000000" w:themeColor="text1"/>
          <w:szCs w:val="24"/>
        </w:rPr>
        <w:t xml:space="preserve">RESULTS: 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11/13 physicians and 10 key stakeholders participated. Overall TPT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fidelity was low (50.0%). Adherence to content was moderate (64.2%), while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adherence to frequency was low (31.3%), evidencing a gap between perceived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importance and clinical practice. The awareness/education component showed the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lowest performance. The main barriers were identified in the internal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environment, including organizational fragmentation between TB/HIV programs,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limited resources, absence of operational protocols, and communication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deficiencies. At the individual level, erroneous beliefs and low self-efficacy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were identified. As facilitators, national normative alignment and the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willingness of stakeholders to strengthen implementation were observed.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591A39">
        <w:rPr>
          <w:rFonts w:ascii="宋体" w:eastAsia="宋体" w:hAnsi="宋体" w:cs="宋体"/>
          <w:b/>
          <w:color w:val="000000" w:themeColor="text1"/>
          <w:szCs w:val="24"/>
        </w:rPr>
        <w:t xml:space="preserve">CONCLUSIONS: 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Low fidelity reflects mainly organizational and process failures,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which highlights the need for facilitation strategies, interprogrammatic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articulation, and capacity strengthening to achieve sustained implementation.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DOI: 10.17843/rpmesp.2026.432.15170</w:t>
      </w:r>
    </w:p>
    <w:p w:rsidR="00311E11" w:rsidRPr="00311E11" w:rsidRDefault="00311E11" w:rsidP="00311E11">
      <w:pPr>
        <w:rPr>
          <w:rFonts w:ascii="宋体" w:eastAsia="宋体" w:hAnsi="宋体" w:cs="宋体" w:hint="eastAsia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PMID:</w:t>
      </w:r>
      <w:r w:rsidR="00591A39">
        <w:rPr>
          <w:rFonts w:ascii="宋体" w:eastAsia="宋体" w:hAnsi="宋体" w:cs="宋体"/>
          <w:color w:val="000000" w:themeColor="text1"/>
          <w:szCs w:val="24"/>
        </w:rPr>
        <w:t xml:space="preserve"> 42531578 [Indexed for MEDLINE]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591A39" w:rsidRDefault="00EF53A4" w:rsidP="00311E11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70</w:t>
      </w:r>
      <w:r w:rsidR="00311E11" w:rsidRPr="00591A39">
        <w:rPr>
          <w:rFonts w:ascii="宋体" w:eastAsia="宋体" w:hAnsi="宋体" w:cs="宋体"/>
          <w:b/>
          <w:color w:val="FF0000"/>
          <w:szCs w:val="24"/>
        </w:rPr>
        <w:t>. Cureus. 2026 Jun 29;18(6):e111725. doi: 10.7759/c</w:t>
      </w:r>
      <w:r w:rsidR="00591A39" w:rsidRPr="00591A39">
        <w:rPr>
          <w:rFonts w:ascii="宋体" w:eastAsia="宋体" w:hAnsi="宋体" w:cs="宋体"/>
          <w:b/>
          <w:color w:val="FF0000"/>
          <w:szCs w:val="24"/>
        </w:rPr>
        <w:t xml:space="preserve">ureus.111725. eCollection 2026 </w:t>
      </w:r>
      <w:r w:rsidR="00311E11" w:rsidRPr="00591A39">
        <w:rPr>
          <w:rFonts w:ascii="宋体" w:eastAsia="宋体" w:hAnsi="宋体" w:cs="宋体"/>
          <w:b/>
          <w:color w:val="FF0000"/>
          <w:szCs w:val="24"/>
        </w:rPr>
        <w:t>Jun.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Isolated Unilateral Optic Neuritis Secondary to Presumed Ocular Tuberculosis in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an Immunocompetent Adult.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Ponnaiah P(1), T Santhirathelagan C(2), Retnasabapathy S(2), Wan Abdul Halim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WH(3).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(1)Ophthalmology, Universiti Kebangsaan Malaysia, Hospital Sungai Buloh, Sungai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Buloh, MYS.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(2)Ophthalmology, Hospital Sungai Buloh, Sungai Buloh, MYS.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(3)Ophthalmology, Universiti Kebangsaan Malaysia Medical Centre, Kuala Lumpur,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MYS.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This case report describes tuberculous optic neuritis as the presenting feature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of tuberculosis (TB) in an immunocompetent adult. A 23-year-old inmate presented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with four days of painless left eye vision loss without systemic TB symptoms.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Visual acuity (VA) was hand movement with relative afferent pupillary defect.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Left eye light brightness was reduced, but no red desaturation. Funduscopy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showed a hyperaemic optic disc and blurred disc margin, with dilated, tortuous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vessels. Visual field revealed a central scotoma. Systemic examination was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unremarkable. Investigation showed a normal chest X-ray, raised erythrocyte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sedimentation rate, positive Mantoux, and TB Quantiferon. Lumbar puncture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revealed normal opening pressure and biochemistry with negative cultures.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Cerebrospinal fluid electrophoresis demonstrated oligoclonal bands, suggesting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inflammation/infection. Magnetic resonance imaging showed a slightly bulky left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optic nerve with T2 hyperintensity and post-contrast enhancement, suggesting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optic neuritis. Anti-TB treatment improved vision to 6/6 with normal optic nerve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function and a well-defined optic disc margin. Tuberculous optic neuritis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requires a high index of suspicion, as corticosteroids, which are the standard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treatment for optic neuritis, may worsen the outcome without anti-tubercular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treatment.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Copyright © 2026, Ponnaiah et al.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DOI: 10.7759/cureus.111725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PMCID: PMC13418522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PMID: 42529743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591A39" w:rsidRDefault="00EF53A4" w:rsidP="00311E11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71</w:t>
      </w:r>
      <w:r w:rsidR="00311E11" w:rsidRPr="00591A39">
        <w:rPr>
          <w:rFonts w:ascii="宋体" w:eastAsia="宋体" w:hAnsi="宋体" w:cs="宋体"/>
          <w:b/>
          <w:color w:val="FF0000"/>
          <w:szCs w:val="24"/>
        </w:rPr>
        <w:t xml:space="preserve">. Front Med (Lausanne). 2026 Jul 15;13:1878586. doi: 10.3389/fmed.2026.1878586. </w:t>
      </w:r>
    </w:p>
    <w:p w:rsidR="00311E11" w:rsidRPr="00591A39" w:rsidRDefault="00311E11" w:rsidP="00311E11">
      <w:pPr>
        <w:rPr>
          <w:rFonts w:ascii="宋体" w:eastAsia="宋体" w:hAnsi="宋体" w:cs="宋体"/>
          <w:b/>
          <w:color w:val="FF0000"/>
          <w:szCs w:val="24"/>
        </w:rPr>
      </w:pPr>
      <w:r w:rsidRPr="00591A39">
        <w:rPr>
          <w:rFonts w:ascii="宋体" w:eastAsia="宋体" w:hAnsi="宋体" w:cs="宋体"/>
          <w:b/>
          <w:color w:val="FF0000"/>
          <w:szCs w:val="24"/>
        </w:rPr>
        <w:t>eCollection 2026.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Detection of latent tuberculosis infection in patients prior to and following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heart transplantation.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Anna S(1)(2)(3), Adilia S(2)(3), Petr F(1), Bulgun M(1), Raul S(3), Igor K(4),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Rubinstein A(1)(4), Elena V(1), Elena S(1), Dmitry K(5)(6)(7).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(1)Almazov National Research Medical Center, St. Petersburg, Russia.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(2)Faculty of Mathematics and Computer Science, Saint Petersburg State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University, St. Petersburg, Russia.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(3)Medical Department, Bashkir State Medical University of the Ministry of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Health of the Russian Federation, Ufa, Russia.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(4)Institute of Experimental Medicine, St. Petersburg, Russia.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(5)Department of Pharmacology, Institute of Pharmacy, I.M. Sechenov First Moscow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State Medical University, Moscow, Russia.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(6)FSBI SSC Institute of Immunology FMBA of Russia, Moscow, Russia.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(7)Faculty of Bioengineering and Bioinformatics, Lomonosov Moscow State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University, Moscow, Russia.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591A39">
        <w:rPr>
          <w:rFonts w:ascii="宋体" w:eastAsia="宋体" w:hAnsi="宋体" w:cs="宋体"/>
          <w:b/>
          <w:color w:val="000000" w:themeColor="text1"/>
          <w:szCs w:val="24"/>
        </w:rPr>
        <w:t xml:space="preserve">BACKGROUND: 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Early identification of latent tuberculosis infection (LTBI) is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essential for preventing active tuberculosis in heart transplant candidates and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recipients, particularly in the context of immunosuppressive therapy.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AIM: To assess and compare the prevalence of LTBI in patients awaiting heart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transplantation and in heart transplant recipients using modern immunodiagnostic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methods.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591A39">
        <w:rPr>
          <w:rFonts w:ascii="宋体" w:eastAsia="宋体" w:hAnsi="宋体" w:cs="宋体"/>
          <w:b/>
          <w:color w:val="000000" w:themeColor="text1"/>
          <w:szCs w:val="24"/>
        </w:rPr>
        <w:t xml:space="preserve">METHODS: 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The prospective study was conducted between 2025 and 2026 and included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patients listed for heart transplantation at the Almazov National Medical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Research Centre. Patients were divided into two main groups according to whether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heart transplantation was performed was conducted to evaluate immunodiagnostic: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 group - patients prior to heart transplantation (n = 14) and the II group - in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heart transplant recipients (n = 28). All patients included on the heart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transplantation waiting list underwent a comprehensive assessment, which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included detailed immunological testing. LTBI was assessed using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(QuantiFERON®-TB Gold ELISA) and/or a recombinant tuberculosis antigen skin test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(Diaskintest). Statistical analysis was performed using Pearson's χ2 test, with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significance set at p &lt; 0.05.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591A39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 LTBI prevalence was significantly higher in heart transplant recipients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(53.6%) compared with controls (5.8%; χ2 = 23.366, p = 0.001). In pre-transplant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patients, LTBI prevalence was 35.7%, also significantly exceeding that of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controls (χ2 = 9.058, p = 0.003). The higher LTBI rates in both patient groups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may reflect immune dysregulation associated with chronic heart failure and the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effects of immunosuppressive therapy. Although LTBI prevalence was higher in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transplant recipients than in pre-transplant patients, the difference was not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statistically significant.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591A39">
        <w:rPr>
          <w:rFonts w:ascii="宋体" w:eastAsia="宋体" w:hAnsi="宋体" w:cs="宋体"/>
          <w:b/>
          <w:color w:val="000000" w:themeColor="text1"/>
          <w:szCs w:val="24"/>
        </w:rPr>
        <w:t>CONCLUSION: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 Heart transplant recipients demonstrate the highest prevalence of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LTBI, followed by patients awaiting transplantation, both markedly exceeding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that observed in healthy individuals. These findings indicate an elevated risk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of active tuberculosis in this population and support the importance of routine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LTBI screening and preventive therapy.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Copyright © 2026 Anna, Adilia, Petr, Bulgun, Raul, Igor, Rubinstein, Elena,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Elena and Dmitry.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DOI: 10.3389/fmed.2026.1878586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lastRenderedPageBreak/>
        <w:t>PMCID: PMC13416897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PMID: 42529347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591A39" w:rsidRDefault="00EF53A4" w:rsidP="00311E11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72</w:t>
      </w:r>
      <w:r w:rsidR="00311E11" w:rsidRPr="00591A39">
        <w:rPr>
          <w:rFonts w:ascii="宋体" w:eastAsia="宋体" w:hAnsi="宋体" w:cs="宋体"/>
          <w:b/>
          <w:color w:val="FF0000"/>
          <w:szCs w:val="24"/>
        </w:rPr>
        <w:t>. Cureus. 2026 Jun 28;18(6):e111687. doi: 10.7759/c</w:t>
      </w:r>
      <w:r w:rsidR="00591A39" w:rsidRPr="00591A39">
        <w:rPr>
          <w:rFonts w:ascii="宋体" w:eastAsia="宋体" w:hAnsi="宋体" w:cs="宋体"/>
          <w:b/>
          <w:color w:val="FF0000"/>
          <w:szCs w:val="24"/>
        </w:rPr>
        <w:t xml:space="preserve">ureus.111687. eCollection 2026 </w:t>
      </w:r>
      <w:r w:rsidR="00311E11" w:rsidRPr="00591A39">
        <w:rPr>
          <w:rFonts w:ascii="宋体" w:eastAsia="宋体" w:hAnsi="宋体" w:cs="宋体"/>
          <w:b/>
          <w:color w:val="FF0000"/>
          <w:szCs w:val="24"/>
        </w:rPr>
        <w:t>Jun.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Genitourinary Tuberculosis Presenting As Testicular Malignancy and Resulting in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Tuberculous Autonephrectomy.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Lodeikina V(1), Kuksa L(1), Ozere I(1), Riekstins R(2).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(1)Tuberculosis and Lung Disease Center, Riga East University Hospital, Riga,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LVA.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(2)Urology and Urologic Oncology, Riga East University Hospital, Riga, LVA.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Genitourinary tuberculosis is a common form of extrapulmonary tuberculosis and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may mimic malignancy and chronic bacterial infection, leading to delayed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diagnosis and irreversible organ damage. We report a case of genitourinary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tuberculosis in a 41-year-old man presenting with chronic epididymal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inflammation, a testicular mass, and progressive hydronephrotic destruction of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the left kidney. Imaging findings initially raised suspicion for testicular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malignancy. Histopathological examination following orchifuniculectomy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demonstrated extensive necrotising granulomatous inflammation without evidence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of malignancy, while acid-fast bacilli were not identified. Molecular testing of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urine samples detected Mycobacterium tuberculosis complex deoxyribonucleic acid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(MTBC DNA), and one of several mycobacterial urine cultures subsequently yielded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positive growth for Mycobacterium tuberculosis. Imaging demonstrated destructive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changes of the left kidney and mild bilateral apical pulmonary lesions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compatible with tuberculosis, while sputum and bronchial aspirate microscopy,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culture, and Xpert Mycobacterium tuberculosis and Rifampicin (MTB/RIF) testing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(Cepheid, Sunnyvale, USA) remained negative. Anti-tuberculosis treatment was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initiated. Because of complete functional loss and extensive parenchymal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destruction, laparoscopic nephrectomy was required. Histopathological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examination of the nephrectomy specimen confirmed necrotising granulomatous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inflammation consistent with renal tuberculosis. This case highlights the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diagnostic challenges of genitourinary tuberculosis, which is frequently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associated with nonspecific symptoms and low mycobacterial load, and emphasises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the importance of combining radiological, histopathological, molecular, and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microbiological findings.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Copyright © 2026, Lodeikina et al.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DOI: 10.7759/cureus.111687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lastRenderedPageBreak/>
        <w:t>PMCID: PMC13415911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PMID: 42529006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591A39" w:rsidRDefault="00EF53A4" w:rsidP="00311E11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73</w:t>
      </w:r>
      <w:r w:rsidR="00311E11" w:rsidRPr="00591A39">
        <w:rPr>
          <w:rFonts w:ascii="宋体" w:eastAsia="宋体" w:hAnsi="宋体" w:cs="宋体"/>
          <w:b/>
          <w:color w:val="FF0000"/>
          <w:szCs w:val="24"/>
        </w:rPr>
        <w:t xml:space="preserve">. medRxiv [Preprint]. 2026 Jul 14:2026.07.10.26357768. doi: </w:t>
      </w:r>
    </w:p>
    <w:p w:rsidR="00311E11" w:rsidRPr="00591A39" w:rsidRDefault="00311E11" w:rsidP="00311E11">
      <w:pPr>
        <w:rPr>
          <w:rFonts w:ascii="宋体" w:eastAsia="宋体" w:hAnsi="宋体" w:cs="宋体"/>
          <w:b/>
          <w:color w:val="FF0000"/>
          <w:szCs w:val="24"/>
        </w:rPr>
      </w:pPr>
      <w:r w:rsidRPr="00591A39">
        <w:rPr>
          <w:rFonts w:ascii="宋体" w:eastAsia="宋体" w:hAnsi="宋体" w:cs="宋体"/>
          <w:b/>
          <w:color w:val="FF0000"/>
          <w:szCs w:val="24"/>
        </w:rPr>
        <w:t>10.64898/2026.07.10.26357768.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Acceptability of and confidence in novel tuberculosis vaccines among South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African adults living with HIV.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Giovanatti A, Sithole N, Govender I, Larson HJ, Lebina L, Drain PK, Celum C,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McClelland RS, Ross JM, Grant AD, Shapiro AE.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591A39">
        <w:rPr>
          <w:rFonts w:ascii="宋体" w:eastAsia="宋体" w:hAnsi="宋体" w:cs="宋体"/>
          <w:b/>
          <w:color w:val="000000" w:themeColor="text1"/>
          <w:szCs w:val="24"/>
        </w:rPr>
        <w:t>OBJECTIVES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: Several novel tuberculosis vaccines (NTVs) are being evaluated in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clinical trials. Understanding the perception of acceptability and confidence in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NTVs will inform implementation strategies.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591A39">
        <w:rPr>
          <w:rFonts w:ascii="宋体" w:eastAsia="宋体" w:hAnsi="宋体" w:cs="宋体"/>
          <w:b/>
          <w:color w:val="000000" w:themeColor="text1"/>
          <w:szCs w:val="24"/>
        </w:rPr>
        <w:t xml:space="preserve">METHODS: 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We conducted a cross-sectional survey to assess acceptability in and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confidence of NTVs among adult persons with HIV (PWH) at two clinics in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KwaZulu-Natal province, South Africa. We evaluated associations between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acceptability and sociodemographic factors.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591A39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 Among 225 PWH, 112 (50%) responded "Definitely yes, as soon as </w:t>
      </w:r>
    </w:p>
    <w:p w:rsidR="00311E11" w:rsidRPr="00311E11" w:rsidRDefault="00311E11" w:rsidP="00311E11">
      <w:pPr>
        <w:rPr>
          <w:rFonts w:ascii="宋体" w:eastAsia="宋体" w:hAnsi="宋体" w:cs="宋体" w:hint="eastAsia"/>
          <w:color w:val="000000" w:themeColor="text1"/>
          <w:szCs w:val="24"/>
        </w:rPr>
      </w:pPr>
      <w:r w:rsidRPr="00311E11">
        <w:rPr>
          <w:rFonts w:ascii="宋体" w:eastAsia="宋体" w:hAnsi="宋体" w:cs="宋体" w:hint="eastAsia"/>
          <w:color w:val="000000" w:themeColor="text1"/>
          <w:szCs w:val="24"/>
        </w:rPr>
        <w:t xml:space="preserve">available", 86 (38%) "Definitely yes, but wait ≥6 months to receive it" and 27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(12%) "Unsure, leaning yes, any timeline" to an NTV. Acceptability was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associated with perception of tuberculosis's (TB's) importance in the community,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perceived risk of contracting TB, personal history of TB, not currently living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with someone with TB, incompatibility of vaccines with religion, and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unemployment. Most participants were confident in the vaccine's potential safety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(110, 93%) and effectiveness (221, 98%). Participants preferred to receive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information from government, community, and health entities, or internet, and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vaccination at community settings over public health facilities.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591A39">
        <w:rPr>
          <w:rFonts w:ascii="宋体" w:eastAsia="宋体" w:hAnsi="宋体" w:cs="宋体"/>
          <w:b/>
          <w:color w:val="000000" w:themeColor="text1"/>
          <w:szCs w:val="24"/>
        </w:rPr>
        <w:t>CONCLUSIONS: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 NTV acceptability was high amongst these PWH, and they preferred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community-based delivery models. Our findings may inform strategies to increase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implementation of NTVs among PWH in South Africa.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DOI: 10.64898/2026.07.10.26357768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PMCID: PMC13409278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PMID: 42528630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591A39" w:rsidRDefault="00EF53A4" w:rsidP="00311E11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74</w:t>
      </w:r>
      <w:r w:rsidR="00311E11" w:rsidRPr="00591A39">
        <w:rPr>
          <w:rFonts w:ascii="宋体" w:eastAsia="宋体" w:hAnsi="宋体" w:cs="宋体"/>
          <w:b/>
          <w:color w:val="FF0000"/>
          <w:szCs w:val="24"/>
        </w:rPr>
        <w:t xml:space="preserve">. medRxiv [Preprint]. 2026 Jul 15:2026.07.13.26357999. doi: </w:t>
      </w:r>
    </w:p>
    <w:p w:rsidR="00311E11" w:rsidRPr="00591A39" w:rsidRDefault="00311E11" w:rsidP="00311E11">
      <w:pPr>
        <w:rPr>
          <w:rFonts w:ascii="宋体" w:eastAsia="宋体" w:hAnsi="宋体" w:cs="宋体"/>
          <w:b/>
          <w:color w:val="FF0000"/>
          <w:szCs w:val="24"/>
        </w:rPr>
      </w:pPr>
      <w:r w:rsidRPr="00591A39">
        <w:rPr>
          <w:rFonts w:ascii="宋体" w:eastAsia="宋体" w:hAnsi="宋体" w:cs="宋体"/>
          <w:b/>
          <w:color w:val="FF0000"/>
          <w:szCs w:val="24"/>
        </w:rPr>
        <w:t>10.64898/2026.07.13.26357999.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Concerns, Priorities, and Pathways: Healthcare Provider Perspectives on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Implementing Tuberculosis Preventive Treatment for People with HIV in Indonesia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and the Philippines.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Kulkarni P, Steiner L, Gianan-Gascon A, Lamigo CE, Sornillo BJ, Hechanova-Cruz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RA, Dungca-Lorilla AM, Hapsari AF, Hardaningsih R, Yulianti M, Hasibuan AS,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Yunihastuti E, Raichur P, Ditangco R, Golub JE, Hoffmann CJ, Reñosa MDC.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591A39">
        <w:rPr>
          <w:rFonts w:ascii="宋体" w:eastAsia="宋体" w:hAnsi="宋体" w:cs="宋体"/>
          <w:b/>
          <w:color w:val="000000" w:themeColor="text1"/>
          <w:szCs w:val="24"/>
        </w:rPr>
        <w:t>BACKGROUND: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 Tuberculosis preventive therapy (TPT) is a cornerstone intervention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for reducing TB incidence among people living with HIV, yet its integration into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routine care remains inconsistent in high-burden settings. While policy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frameworks are well established, less is known about how frontline healthcare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workers (HCWs) operationalize TPT within constraint health systems. Thisstudy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explores healthcare workers' (HCWs) perspectives on TPT implementation in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Indonesia and the Philippines using normalization process theory (NPT), to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understand how TPT is (or fails to be) embedded in everyday clinical practice.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591A39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 Weconducted ten focus group discussions and four in-depth interviews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with HCWs across major TB/HIV treatment centers in Manila, Philippines and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Jakarta, Indonesiabetween June to December 2023. Data were analyzed using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reflexive thematic analysis, followed by interpretative mappingontofour NPT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constructs: coherence, cognitive participation, collective action and reflexive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monitoring.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591A39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 TPT implementation was characterized by a persistent gap between policy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intent and routine practice. Under coherence , HCWsdescribed fragmented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knowledge and limited exposure to standardized protocols, undermining confidence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in TPT delivery. Cognitive participation was constrained by a doctor-centric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model and high staff turnover, weakening shared ownership of TPT. In collective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action , operational fragilities, including weak documentation systems, supply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interruptions, and poor inter-level coordination, resulted in inconsistent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delivery. Through reflexive monitoring , HCWs identified patient concerns around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side effects and pill burden, alongside provider concerns regarding diagnostic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uncertainty and fears of missing active TB. Across settings, HCWs actively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proposed system-oriented solutions, including SOP standardization, team-based </w:t>
      </w:r>
    </w:p>
    <w:p w:rsidR="00311E11" w:rsidRPr="00591A39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591A39">
        <w:rPr>
          <w:rFonts w:ascii="宋体" w:eastAsia="宋体" w:hAnsi="宋体" w:cs="宋体"/>
          <w:color w:val="000000" w:themeColor="text1"/>
          <w:szCs w:val="24"/>
        </w:rPr>
        <w:t>training, digital reminders, and strengthened care continuity mechanisms.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591A39">
        <w:rPr>
          <w:rFonts w:ascii="宋体" w:eastAsia="宋体" w:hAnsi="宋体" w:cs="宋体"/>
          <w:b/>
          <w:color w:val="000000" w:themeColor="text1"/>
          <w:szCs w:val="24"/>
        </w:rPr>
        <w:t xml:space="preserve">CONCLUSIONS: 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TPT implementation is not limited by awareness alone but by the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absence of routinized systems that support consistent practice. Strengthening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implementation requires shifting from individual-dependent delivery toward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system-enabled integration, through standardized protocols, distributed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workforce engagement, embedded monitoring mechanisms, and uninterrupted drug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supply systems. Interventions that align with everyday clinical workflows and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reinforce collective responsibility across cadres are critical to closing policy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and practice gap.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DOI: 10.64898/2026.07.13.26357999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PMCID: PMC13409217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PMID: 42528553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591A39" w:rsidRDefault="00EF53A4" w:rsidP="00311E11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75</w:t>
      </w:r>
      <w:r w:rsidR="00311E11" w:rsidRPr="00591A39">
        <w:rPr>
          <w:rFonts w:ascii="宋体" w:eastAsia="宋体" w:hAnsi="宋体" w:cs="宋体"/>
          <w:b/>
          <w:color w:val="FF0000"/>
          <w:szCs w:val="24"/>
        </w:rPr>
        <w:t xml:space="preserve">. Rev Bras Enferm. 2026 Jul 24;79:e20250282. doi: 10.1590/0034-7167-2025-0282. </w:t>
      </w:r>
    </w:p>
    <w:p w:rsidR="00311E11" w:rsidRPr="00591A39" w:rsidRDefault="00311E11" w:rsidP="00311E11">
      <w:pPr>
        <w:rPr>
          <w:rFonts w:ascii="宋体" w:eastAsia="宋体" w:hAnsi="宋体" w:cs="宋体"/>
          <w:b/>
          <w:color w:val="FF0000"/>
          <w:szCs w:val="24"/>
        </w:rPr>
      </w:pPr>
      <w:r w:rsidRPr="00591A39">
        <w:rPr>
          <w:rFonts w:ascii="宋体" w:eastAsia="宋体" w:hAnsi="宋体" w:cs="宋体"/>
          <w:b/>
          <w:color w:val="FF0000"/>
          <w:szCs w:val="24"/>
        </w:rPr>
        <w:lastRenderedPageBreak/>
        <w:t>eCollection 2026.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Latent tuberculosis infection among undergraduate nursing students: a study of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social representations.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Andrade EGR(1), Rodrigues ILA(1), Nogueira LMV(1), Pereira AA(1), Silva EPD(1),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Santos AAMD(1).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(1)Universidade do Estado do Pará. Belém, Pará, Brazil.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591A39">
        <w:rPr>
          <w:rFonts w:ascii="宋体" w:eastAsia="宋体" w:hAnsi="宋体" w:cs="宋体"/>
          <w:b/>
          <w:color w:val="000000" w:themeColor="text1"/>
          <w:szCs w:val="24"/>
        </w:rPr>
        <w:t>OBJECTIVES: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 to analyze nursing students' social representations regarding latent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tuberculosis infection.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591A39">
        <w:rPr>
          <w:rFonts w:ascii="宋体" w:eastAsia="宋体" w:hAnsi="宋体" w:cs="宋体"/>
          <w:b/>
          <w:color w:val="000000" w:themeColor="text1"/>
          <w:szCs w:val="24"/>
        </w:rPr>
        <w:t>METHODS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: this qualitative study, supported by Social Representation Theory's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procedural aspect, was conducted with 37 students who were tuberculin-positive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and enrolled in an undergraduate nursing program at a public university in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Belém, Pará, Brazil. Individual interviews were carried out, and the corpus was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subjected to the software Interface de R pour les Analyses Multidimensionnelles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de Textes et de Questionnaires 0.7/alpha 2 for lexical analysis mediated by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Descending Hierarchical Classification.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591A39">
        <w:rPr>
          <w:rFonts w:ascii="宋体" w:eastAsia="宋体" w:hAnsi="宋体" w:cs="宋体"/>
          <w:b/>
          <w:color w:val="000000" w:themeColor="text1"/>
          <w:szCs w:val="24"/>
        </w:rPr>
        <w:t xml:space="preserve">RESULTS: 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social representations were revealed through participants' personal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experiences and the reflections they undertook after the positive result, aiming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to understand how they may have been exposed to the bacillus and become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infected.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591A39">
        <w:rPr>
          <w:rFonts w:ascii="宋体" w:eastAsia="宋体" w:hAnsi="宋体" w:cs="宋体"/>
          <w:b/>
          <w:color w:val="000000" w:themeColor="text1"/>
          <w:szCs w:val="24"/>
        </w:rPr>
        <w:t>FINAL CONSIDERATIONS: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 to protect students in their personal and academic daily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lives, biosecurity measures require collaborative partnerships between the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health and education sectors, but it is also necessary to strengthen Primary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Health Care actions.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DOI: 10.1590/0034-7167-2025-0282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PMCID: PMC13403634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PMID: 42524971 [Indexed for MEDLINE]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591A39" w:rsidRDefault="00EF53A4" w:rsidP="00311E11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76</w:t>
      </w:r>
      <w:r w:rsidR="00311E11" w:rsidRPr="00591A39">
        <w:rPr>
          <w:rFonts w:ascii="宋体" w:eastAsia="宋体" w:hAnsi="宋体" w:cs="宋体"/>
          <w:b/>
          <w:color w:val="FF0000"/>
          <w:szCs w:val="24"/>
        </w:rPr>
        <w:t xml:space="preserve">. Rev Bras Enferm. 2026 Jul 24;79:e20250200. doi: 10.1590/0034-7167-2025-0200. </w:t>
      </w:r>
    </w:p>
    <w:p w:rsidR="00311E11" w:rsidRPr="00591A39" w:rsidRDefault="00311E11" w:rsidP="00311E11">
      <w:pPr>
        <w:rPr>
          <w:rFonts w:ascii="宋体" w:eastAsia="宋体" w:hAnsi="宋体" w:cs="宋体"/>
          <w:b/>
          <w:color w:val="FF0000"/>
          <w:szCs w:val="24"/>
        </w:rPr>
      </w:pPr>
      <w:r w:rsidRPr="00591A39">
        <w:rPr>
          <w:rFonts w:ascii="宋体" w:eastAsia="宋体" w:hAnsi="宋体" w:cs="宋体"/>
          <w:b/>
          <w:color w:val="FF0000"/>
          <w:szCs w:val="24"/>
        </w:rPr>
        <w:t>eCollection 2026.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Sociodemographic profile of tuberculosis and treatment difficulties in light of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health literacy.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Santos DND(1), Silva RGD(1), Andrade EGR(1), Rodrigues ILA(1), Rassy MEC(1),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Nogueira LMV(1).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(1)Universidade do Estado do Pará. Belém, Pará, Brazil.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591A39">
        <w:rPr>
          <w:rFonts w:ascii="宋体" w:eastAsia="宋体" w:hAnsi="宋体" w:cs="宋体"/>
          <w:b/>
          <w:color w:val="000000" w:themeColor="text1"/>
          <w:szCs w:val="24"/>
        </w:rPr>
        <w:t xml:space="preserve">OBJECTIVES: 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to describe the sociodemographic profile of people with tuberculosis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and difficulties in undergoing treatment in Primary Health Care in light of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health literacy.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591A39">
        <w:rPr>
          <w:rFonts w:ascii="宋体" w:eastAsia="宋体" w:hAnsi="宋体" w:cs="宋体"/>
          <w:b/>
          <w:color w:val="000000" w:themeColor="text1"/>
          <w:szCs w:val="24"/>
        </w:rPr>
        <w:t xml:space="preserve">METHODS: 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 cross-sectional study, conducted in four Municipal Health Units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located in Belém/Pará/Brazil. A total of 207 people undergoing tuberculosis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treatment were interviewed using sociodemographic questionnaire and Health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Literacy Test. Data were analyzed using descriptive statistics.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591A39">
        <w:rPr>
          <w:rFonts w:ascii="宋体" w:eastAsia="宋体" w:hAnsi="宋体" w:cs="宋体"/>
          <w:b/>
          <w:color w:val="000000" w:themeColor="text1"/>
          <w:szCs w:val="24"/>
        </w:rPr>
        <w:t xml:space="preserve">RESULTS: 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males predominated (n=135/65.2%), in the age groups of 18-29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(n=62/30.0%) and 30-39 years (n=50/24.2%), single (n=97/46.9%), with completed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high school/incomplete elementary school (n=70/33.8%; n=63/30.4%) and a family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income of two minimum wages (n=108/52.2%). Regarding tuberculosis treatment,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they acknowledged difficulties such as removing medication from its packaging,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refilling medications, and taking multiple pills simultaneously, highlighting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limitations related to health literacy.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591A39">
        <w:rPr>
          <w:rFonts w:ascii="宋体" w:eastAsia="宋体" w:hAnsi="宋体" w:cs="宋体"/>
          <w:b/>
          <w:color w:val="000000" w:themeColor="text1"/>
          <w:szCs w:val="24"/>
        </w:rPr>
        <w:t>CONCLUSIONS: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 investments in structural, human, and material resources should be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made by healthcare service professionals/managers and public authorities, aiming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to improve the literacy of people with tuberculosis.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DOI: 10.1590/0034-7167-2025-0200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PMCID: PMC13411002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PMID: 42524968 [Indexed for MEDLINE]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Copyright © 2026, Agustian et al.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DOI: 10.7759/cureus.111612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PMCID: PMC13412891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PMID: 42524704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591A39" w:rsidRDefault="00EF53A4" w:rsidP="00311E11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77</w:t>
      </w:r>
      <w:r w:rsidR="00311E11" w:rsidRPr="00591A39">
        <w:rPr>
          <w:rFonts w:ascii="宋体" w:eastAsia="宋体" w:hAnsi="宋体" w:cs="宋体"/>
          <w:b/>
          <w:color w:val="FF0000"/>
          <w:szCs w:val="24"/>
        </w:rPr>
        <w:t>. Cureus. 2026 Jun 28;18(6):e111645. doi: 10.7759/c</w:t>
      </w:r>
      <w:r w:rsidR="00591A39" w:rsidRPr="00591A39">
        <w:rPr>
          <w:rFonts w:ascii="宋体" w:eastAsia="宋体" w:hAnsi="宋体" w:cs="宋体"/>
          <w:b/>
          <w:color w:val="FF0000"/>
          <w:szCs w:val="24"/>
        </w:rPr>
        <w:t xml:space="preserve">ureus.111645. eCollection 2026 </w:t>
      </w:r>
      <w:r w:rsidR="00311E11" w:rsidRPr="00591A39">
        <w:rPr>
          <w:rFonts w:ascii="宋体" w:eastAsia="宋体" w:hAnsi="宋体" w:cs="宋体"/>
          <w:b/>
          <w:color w:val="FF0000"/>
          <w:szCs w:val="24"/>
        </w:rPr>
        <w:t>Jun.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Isolated Central Nervous System Tuberculosis Presenting as Progressive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Encephalopathy: A Report of a Biopsy-Proven Case.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Leon Chaviano L(1), Daghir L(1), Zeizzoun R(2), Zeizoun A(3), Gopal I(3).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(1)Department of Internal Medicine, Broward Health North, Pompano Beach, USA.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(2)Faculty of Medicine, Ain Shams University, Cairo, EGY.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(3)Department of Infectious Disease, Broward Health North, Pompano Beach, USA.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Central nervous system (CNS) tuberculosis (TB) is an uncommon but severe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manifestation of Mycobacterium tuberculosis infection and is associated with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significant morbidity and mortality. Its clinical and radiologic presentations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are often nonspecific and may mimic malignancy, inflammatory disorders, or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fungal infections, frequently resulting in diagnostic delay. Conventional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cerebrospinal fluid (CSF) testing has limited sensitivity, and definitive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diagnosis may require histopathologic confirmation when noninvasive studies are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inconclusive. We report the case of a 76-year-old woman with a history of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cerebrovascular accident and hypertension who presented with a six-month history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of progressive encephalopathy following travel to Ghana. Initial neuroimaging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was unrevealing, while CSF analysis demonstrated lymphocytic pleocytosis with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markedly low glucose; routine meningitis testing was negative. Subsequent brain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magnetic resonance imaging (MRI) revealed diffuse nodular leptomeningeal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enhancement involving the posterior fossa and brainstem. Given high clinical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suspicion, empiric antituberculous therapy was initiated. Definitive diagnosis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was achieved through open meningeal biopsy, which demonstrated necrotizing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granulomas with acid-fast bacilli, confirming CNS TB. No evidence of pulmonary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TB was identified. The patient demonstrated significant clinical and radiologic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improvement with continued antituberculous therapy and adjunctive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corticosteroids. This case highlights the diagnostic complexity of CNS TB and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emphasizes the importance of histopathologic confirmation when noninvasive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testing is nondiagnostic. Early recognition of CNS TB in patients with chronic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meningitis, atypical neuroimaging findings, and relevant epidemiologic exposure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is critical for timely treatment and improved neurologic outcomes.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Copyright © 2026, Leon Chaviano et al.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DOI: 10.7759/cureus.111645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PMCID: PMC13409328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PMID: 42524060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5E27B3" w:rsidRDefault="00EF53A4" w:rsidP="00311E11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78</w:t>
      </w:r>
      <w:r w:rsidR="00311E11" w:rsidRPr="005E27B3">
        <w:rPr>
          <w:rFonts w:ascii="宋体" w:eastAsia="宋体" w:hAnsi="宋体" w:cs="宋体"/>
          <w:b/>
          <w:color w:val="FF0000"/>
          <w:szCs w:val="24"/>
        </w:rPr>
        <w:t xml:space="preserve">. Front Public Health. 2026 Jul 14;14:1843471. doi: 10.3389/fpubh.2026.1843471. </w:t>
      </w:r>
    </w:p>
    <w:p w:rsidR="00311E11" w:rsidRPr="005E27B3" w:rsidRDefault="00311E11" w:rsidP="00311E11">
      <w:pPr>
        <w:rPr>
          <w:rFonts w:ascii="宋体" w:eastAsia="宋体" w:hAnsi="宋体" w:cs="宋体"/>
          <w:b/>
          <w:color w:val="FF0000"/>
          <w:szCs w:val="24"/>
        </w:rPr>
      </w:pPr>
      <w:r w:rsidRPr="005E27B3">
        <w:rPr>
          <w:rFonts w:ascii="宋体" w:eastAsia="宋体" w:hAnsi="宋体" w:cs="宋体"/>
          <w:b/>
          <w:color w:val="FF0000"/>
          <w:szCs w:val="24"/>
        </w:rPr>
        <w:t>eCollection 2026.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Modelling tuberculosis transmission dynamics in Malaysia.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Lim MC(1), Mohd Ghazali N(1), Kamarudin MK(1), Md Iderus NH(1), Mohd Ghazali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S(1), Omar MA(1), Mohd Hashim S(2), Abdul Halim SH(2), Alipitchay S(2), Razali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A(2), Ramli SR(3), Gill BS(4), Mohd Jamil N(5), Dass SC(6), Singh S(1).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(1)Special Resource Centre, Institute for Medical Research, National Institutes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of Health, Ministry of Health, Shah Alam, Malaysia.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(2)Tuberculosis and Leprosy Control Sector, Disease Control Division, Ministry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of Health, Putrajaya, Malaysia.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(3)Infectious Disease Research Centre, Institute for Medical Research, National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lastRenderedPageBreak/>
        <w:t>Institutes of Health, Ministry of Health, Shah Alam, Malaysia.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(4)National Public Health Laboratory, Ministry of Health, Sungai Buloh,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Malaysia.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(5)Centre for Mathematical Sciences, Universiti Malaysia Pahang Al-Sultan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Abdullah, Kuantan, Malaysia.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(6)School of Mathematical and Computer Sciences, Heriot-Watt University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Malaysia, Putrajaya, Malaysia.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5E27B3">
        <w:rPr>
          <w:rFonts w:ascii="宋体" w:eastAsia="宋体" w:hAnsi="宋体" w:cs="宋体"/>
          <w:b/>
          <w:color w:val="000000" w:themeColor="text1"/>
          <w:szCs w:val="24"/>
        </w:rPr>
        <w:t xml:space="preserve">INTRODUCTION: 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Tuberculosis (TB) remains a major global public health challenge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requiring urgent interventions to achieve the World Health Organization (WHO)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End TB Strategy targets. This study aimed to develop and validate a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compartmental model to estimate the TB reproduction number (R0) and TB incidence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in Malaysia, identify parameters influencing R0 and TB incidence, and simulate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TB incidence using baseline and intervention scenarios to 2035 to assess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compatibility with achieving the WHO End TB Strategy target.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5E27B3">
        <w:rPr>
          <w:rFonts w:ascii="宋体" w:eastAsia="宋体" w:hAnsi="宋体" w:cs="宋体"/>
          <w:b/>
          <w:color w:val="000000" w:themeColor="text1"/>
          <w:szCs w:val="24"/>
        </w:rPr>
        <w:t xml:space="preserve">METHODS: 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 Susceptible-Latent Fast-Latent Slow-Infectious-Recovered (SLFLSIR)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compartmental model was developed and calibrated using national TB data from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2013 to 2023. Model calibration was performed using initial Monte Carlo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exploration followed by Particle Swarm Optimisation to identify final calibrated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parameters. R0 was estimated using the next-generation matrix approach.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Uncertainty was quantified using parametric bootstrapping with negative binomial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observation model. Model validation used observed TB cases in 2024 and 2025 and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was assessed using performance metrics. Global sensitivity analysis using Latin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Hypercube Sampling and Partial Rank Correlation Coefficients identified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parameters influencing R0 and simulated TB incidence in 2035. TB incidence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scenarios were simulated to 2035 by varying the transmission rate (β), rate of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progression from active TB to recovery (γ), and rate of progression from latent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fast to active TB (ε).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5E27B3">
        <w:rPr>
          <w:rFonts w:ascii="宋体" w:eastAsia="宋体" w:hAnsi="宋体" w:cs="宋体"/>
          <w:b/>
          <w:color w:val="000000" w:themeColor="text1"/>
          <w:szCs w:val="24"/>
        </w:rPr>
        <w:t xml:space="preserve">RESULTS: 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The calibrated model-estimated TB cases and incidence showed good fit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to observed TB cases and incidence during calibration and short-term validation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periods, with satisfactory performance metrics. The estimated R0 was 1.09 (95%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CI: 1.01-1.27). Parameters influencing R0 were β and γ, while parameters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influencing simulated TB incidence in 2035 were β, γ, and rate of progression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from latent slow to active TB (κ). TB incidence showed minimal reduction by 2035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in the baseline scenario. The most intensive intervention scenario reduced TB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incidence by 66.21% by 2035, relative to 2015.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5E27B3">
        <w:rPr>
          <w:rFonts w:ascii="宋体" w:eastAsia="宋体" w:hAnsi="宋体" w:cs="宋体"/>
          <w:b/>
          <w:color w:val="000000" w:themeColor="text1"/>
          <w:szCs w:val="24"/>
        </w:rPr>
        <w:t>CONCLUSION: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 The SLFLSIR model showed that TB transmission in Malaysia remains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self-sustaining, with estimated R0 slightly above 1. Although combined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TB-specific interventions could reduce simulated TB incidence, achieving the WHO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End TB Strategy targets by 2035 will likely require integrated TB control with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broader improvements in population health and social determinants of TB risk.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Copyright © 2026 Lim, Mohd Ghazali, Kamarudin, Md Iderus, Mohd Ghazali, Omar,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Mohd Hashim, Abdul Halim, Alipitchay, Razali, Ramli, Gill, Mohd Jamil, Dass and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lastRenderedPageBreak/>
        <w:t>Singh.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DOI: 10.3389/fpubh.2026.1843471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PMCID: PMC13407623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PMID: 42523802 [Indexed for MEDLINE]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5E27B3" w:rsidRDefault="00EF53A4" w:rsidP="00311E11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79</w:t>
      </w:r>
      <w:r w:rsidR="00311E11" w:rsidRPr="005E27B3">
        <w:rPr>
          <w:rFonts w:ascii="宋体" w:eastAsia="宋体" w:hAnsi="宋体" w:cs="宋体"/>
          <w:b/>
          <w:color w:val="FF0000"/>
          <w:szCs w:val="24"/>
        </w:rPr>
        <w:t xml:space="preserve">. medRxiv [Preprint]. 2026 Jul 16:2026.07.13.26357974. doi: </w:t>
      </w:r>
    </w:p>
    <w:p w:rsidR="00311E11" w:rsidRPr="005E27B3" w:rsidRDefault="00311E11" w:rsidP="00311E11">
      <w:pPr>
        <w:rPr>
          <w:rFonts w:ascii="宋体" w:eastAsia="宋体" w:hAnsi="宋体" w:cs="宋体"/>
          <w:b/>
          <w:color w:val="FF0000"/>
          <w:szCs w:val="24"/>
        </w:rPr>
      </w:pPr>
      <w:r w:rsidRPr="005E27B3">
        <w:rPr>
          <w:rFonts w:ascii="宋体" w:eastAsia="宋体" w:hAnsi="宋体" w:cs="宋体"/>
          <w:b/>
          <w:color w:val="FF0000"/>
          <w:szCs w:val="24"/>
        </w:rPr>
        <w:t>10.64898/2026.07.13.26357974.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Optimizing Latent Tuberculosis Treatment Strategies Among Immigrants From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High-Burden Settings.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Tabackman A, Karoly M, Jacobson KR, Horsburgh CR, Linas B, Campbell J,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Acuña-Villaorduña C, Sinha P.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5E27B3">
        <w:rPr>
          <w:rFonts w:ascii="宋体" w:eastAsia="宋体" w:hAnsi="宋体" w:cs="宋体"/>
          <w:b/>
          <w:color w:val="000000" w:themeColor="text1"/>
          <w:szCs w:val="24"/>
        </w:rPr>
        <w:t>IMPORTANCE: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 Tuberculosis preventive therapy is central to reducing tuberculosis,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and foreign-born individuals account for most US tuberculosis cases. Current US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Preventive Services Task Force guidance recommends testing and treating all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foreign-born individuals regardless of age or time since immigration, yet the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risks of disease progression and of treatment-related harm are not uniform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across these groups.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5E27B3">
        <w:rPr>
          <w:rFonts w:ascii="宋体" w:eastAsia="宋体" w:hAnsi="宋体" w:cs="宋体"/>
          <w:b/>
          <w:color w:val="000000" w:themeColor="text1"/>
          <w:szCs w:val="24"/>
        </w:rPr>
        <w:t xml:space="preserve">OBJECTIVE: 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To evaluate the cost-effectiveness and health outcomes of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tuberculosis infection treatment strategies among immigrants from high-burden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settings, stratified by age and time since immigration.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5E27B3">
        <w:rPr>
          <w:rFonts w:ascii="宋体" w:eastAsia="宋体" w:hAnsi="宋体" w:cs="宋体"/>
          <w:b/>
          <w:color w:val="000000" w:themeColor="text1"/>
          <w:szCs w:val="24"/>
        </w:rPr>
        <w:t xml:space="preserve">DESIGN: 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Decision analytical model using individual-level microsimulation (Markov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model) over a 30-year horizon, with deterministic and probabilistic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(second-order Monte Carlo) sensitivity analyses. Costs and outcomes were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discounted at 3%.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5E27B3">
        <w:rPr>
          <w:rFonts w:ascii="宋体" w:eastAsia="宋体" w:hAnsi="宋体" w:cs="宋体"/>
          <w:b/>
          <w:color w:val="000000" w:themeColor="text1"/>
          <w:szCs w:val="24"/>
        </w:rPr>
        <w:t>SETTING: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 US federally funded tuberculosis clinic care (healthcare-sector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perspective), using observed data from the Boston Medical Center/Boston Public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Health Commission tuberculosis clinic and published literature.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5E27B3">
        <w:rPr>
          <w:rFonts w:ascii="宋体" w:eastAsia="宋体" w:hAnsi="宋体" w:cs="宋体"/>
          <w:b/>
          <w:color w:val="000000" w:themeColor="text1"/>
          <w:szCs w:val="24"/>
        </w:rPr>
        <w:t>PARTICIPANTS: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 A simulated cohort of 10 000 IGRA-positive, foreign-born adults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from high tuberculosis incidence settings (excluding immunosuppressed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individuals), modeled as recent or remote (immigrated 25 years earlier)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immigrants at ages 35 and 65 years.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5E27B3">
        <w:rPr>
          <w:rFonts w:ascii="宋体" w:eastAsia="宋体" w:hAnsi="宋体" w:cs="宋体"/>
          <w:b/>
          <w:color w:val="000000" w:themeColor="text1"/>
          <w:szCs w:val="24"/>
        </w:rPr>
        <w:t xml:space="preserve">INTERVENTIONS: 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Rifampin daily for 4 months, isoniazid daily for 9 months, or no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preventive therapy.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5E27B3">
        <w:rPr>
          <w:rFonts w:ascii="宋体" w:eastAsia="宋体" w:hAnsi="宋体" w:cs="宋体"/>
          <w:b/>
          <w:color w:val="000000" w:themeColor="text1"/>
          <w:szCs w:val="24"/>
        </w:rPr>
        <w:t xml:space="preserve">MAIN OUTCOMES AND MEASURES: 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Costs, disability-adjusted life-years (DALYs),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incident tuberculosis cases and deaths, treatment completion, and incremental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cost-effectiveness ratios (ICERs), with the proportion of simulations in which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each strategy was optimal at a willingness-to-pay threshold of $50 000 per DALY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averted.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5E27B3">
        <w:rPr>
          <w:rFonts w:ascii="宋体" w:eastAsia="宋体" w:hAnsi="宋体" w:cs="宋体"/>
          <w:b/>
          <w:color w:val="000000" w:themeColor="text1"/>
          <w:szCs w:val="24"/>
        </w:rPr>
        <w:t xml:space="preserve">RESULTS: 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Among recent immigrants, rifampin was the dominant strategy at ages 35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and 65 years (optimal in 88.5% and 93.9% of simulations), yielding the fewest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tuberculosis cases (119.44 and 82.31 per 10 000) and the highest treatment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completion (71.4% and 67.7%). Among remote immigrants, rifampin remained the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dominant strategy (optimal in 53.41% of simulations), followed by no treatment.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In older remote immigrants, no treatment was optimal in 94.7% of simulations.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ICERs for treatment vs no treatment were unfavorable ($193 600 and $412 857 per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DALY averted for rifampin and isoniazid, respectively, at age 65).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5E27B3">
        <w:rPr>
          <w:rFonts w:ascii="宋体" w:eastAsia="宋体" w:hAnsi="宋体" w:cs="宋体"/>
          <w:b/>
          <w:color w:val="000000" w:themeColor="text1"/>
          <w:szCs w:val="24"/>
        </w:rPr>
        <w:t xml:space="preserve">CONCLUSIONS AND RELEVANCE: 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In this decision analytical model, rifampin was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cost-effective for recent immigrants, whereas no treatment was optimal for older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remote immigrants. Age and time since immigration may help risk-stratify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tuberculosis infection treatment and reduce unnecessary treatment in lower-risk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populations.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5E27B3">
        <w:rPr>
          <w:rFonts w:ascii="宋体" w:eastAsia="宋体" w:hAnsi="宋体" w:cs="宋体"/>
          <w:b/>
          <w:color w:val="000000" w:themeColor="text1"/>
          <w:szCs w:val="24"/>
        </w:rPr>
        <w:t>KEY POINTS: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 Question: Among immigrants from high-tuberculosis-burden settings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with a positive interferon-gamma release assay (IGRA), how do rifampin,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isoniazid, and no preventive therapy compare in cost effectiveness across age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and time since immigration?Findings: In this decision analytical model of 10 000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simulated immigrants, rifampin was the optimal strategy for recent immigrants at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ages 35 and 65 years (optimal in 88.5% and 93.4% of simulations), whereas no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treatment was optimal for older immigrants who had immigrated 25 years earlier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(94.7% at age 65).Meaning: Age and time since immigration may inform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tuberculosis infection treatment decisions and reduce unnecessary treatment in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lower-risk immigrants.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DOI: 10.64898/2026.07.13.26357974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PMCID: PMC13405537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PMID: 42523565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5E27B3" w:rsidRDefault="00EF53A4" w:rsidP="00311E11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80</w:t>
      </w:r>
      <w:r w:rsidR="00311E11" w:rsidRPr="005E27B3">
        <w:rPr>
          <w:rFonts w:ascii="宋体" w:eastAsia="宋体" w:hAnsi="宋体" w:cs="宋体"/>
          <w:b/>
          <w:color w:val="FF0000"/>
          <w:szCs w:val="24"/>
        </w:rPr>
        <w:t xml:space="preserve">. bioRxiv [Preprint]. 2026 Jul 17:2026.07.16.737568. doi: </w:t>
      </w:r>
    </w:p>
    <w:p w:rsidR="00311E11" w:rsidRPr="005E27B3" w:rsidRDefault="00311E11" w:rsidP="00311E11">
      <w:pPr>
        <w:rPr>
          <w:rFonts w:ascii="宋体" w:eastAsia="宋体" w:hAnsi="宋体" w:cs="宋体"/>
          <w:b/>
          <w:color w:val="FF0000"/>
          <w:szCs w:val="24"/>
        </w:rPr>
      </w:pPr>
      <w:r w:rsidRPr="005E27B3">
        <w:rPr>
          <w:rFonts w:ascii="宋体" w:eastAsia="宋体" w:hAnsi="宋体" w:cs="宋体"/>
          <w:b/>
          <w:color w:val="FF0000"/>
          <w:szCs w:val="24"/>
        </w:rPr>
        <w:t>10.64898/2026.07.16.737568.</w:t>
      </w:r>
    </w:p>
    <w:p w:rsidR="00311E11" w:rsidRPr="005E27B3" w:rsidRDefault="00311E11" w:rsidP="00311E11">
      <w:pPr>
        <w:rPr>
          <w:rFonts w:ascii="宋体" w:eastAsia="宋体" w:hAnsi="宋体" w:cs="宋体"/>
          <w:b/>
          <w:color w:val="FF0000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Expanding the palette of trehalose-based fluorophores for live mycobacterial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detection.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Brodeth A, Dosanjh R, Schwartz LA, Kramer S, Goggins S, Brown JC, Zigli A,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Swarts BM, Kamariza M.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Tuberculosis (TB) remains the world's leading infectious cause of death.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Trehalose-based fluorogenic probes have emerged as powerful tools for labeling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and studying mycobacteria, including Mycobacterium tuberculosis (Mtb), the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causative agent of tuberculosis. However, existing probes occupy a limited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spectral range and require compromise between brightness, specificity, and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functional readouts. Here, we report the design and characterization of two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trehalose conjugates derived from Janelia Fluor® dyes, JF 635 -Tre and JF 646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-Tre, which extend the trehalose-based platform into the far-red region.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Following NHS ester-mediated synthesis, the trehalose-conjugated analogs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displayed strong far-red fluorescence, with excitation/emission maxima at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638/654 nm and 648/663 nm for JF 635 -Tre and JF 646 -Tre, respectively. Both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probes exhibited concentration- and time-dependent labeling of Mycobacterium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smegmatis (Msmeg) and Mtb with minimal background fluorescence from the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corresponding unconjugated dyes. Furthermore, we observed reduced labeling in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heat-killed cells compared to live Msmeg, particularly for JF 646 -Tre,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consistent with sensitivity to metabolic activity. Both JF-Tre derivatives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produced significant cellular labeling and JF 635 -Tre distinguished untreated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from INH-treated samples in drug susceptible Mtb, demonstrating the potential of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the JF-Tre probes to report on INH susceptibility and resistance. Together,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these findings expand the toolkit of trehalose-based probes and highlight how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fluorophore identity influences probe performance in mycobacterial fluorescence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imaging and drug susceptibility testing.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DOI: 10.64898/2026.07.16.737568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PMCID: PMC13404901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PMID: 42523316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5E27B3" w:rsidRDefault="00EF53A4" w:rsidP="00311E11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81</w:t>
      </w:r>
      <w:r w:rsidR="00311E11" w:rsidRPr="005E27B3">
        <w:rPr>
          <w:rFonts w:ascii="宋体" w:eastAsia="宋体" w:hAnsi="宋体" w:cs="宋体"/>
          <w:b/>
          <w:color w:val="FF0000"/>
          <w:szCs w:val="24"/>
        </w:rPr>
        <w:t xml:space="preserve">. bioRxiv [Preprint]. 2026 Jul 14:2026.07.13.738276. doi: </w:t>
      </w:r>
    </w:p>
    <w:p w:rsidR="00311E11" w:rsidRPr="005E27B3" w:rsidRDefault="00311E11" w:rsidP="00311E11">
      <w:pPr>
        <w:rPr>
          <w:rFonts w:ascii="宋体" w:eastAsia="宋体" w:hAnsi="宋体" w:cs="宋体"/>
          <w:b/>
          <w:color w:val="FF0000"/>
          <w:szCs w:val="24"/>
        </w:rPr>
      </w:pPr>
      <w:r w:rsidRPr="005E27B3">
        <w:rPr>
          <w:rFonts w:ascii="宋体" w:eastAsia="宋体" w:hAnsi="宋体" w:cs="宋体"/>
          <w:b/>
          <w:color w:val="FF0000"/>
          <w:szCs w:val="24"/>
        </w:rPr>
        <w:t>10.64898/2026.07.13.738276.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Identification of a new mycobacterial peptide that controls the activity of the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iron-dependent regulator, IdeR.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Biswas A, Behura A, Sharma N, Gupta S, Pérez I, Gonzalo-Asensio J, Choi JY,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Rodriguez GM.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Mycobacterium tuberculosis ( Mtb ) must regulate intracellular iron to survive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in the host and cause disease. IdeR ( I ron- de pendent R egulator) is an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essential Mtb protein that governs intracellular iron levels by regulating the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expression of genes involved in iron metabolism. IdeR expression, however, is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iron independent, and the mechanisms that regulate IdeR's function are not fully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understood. Here, we report the discovery of a previously unrecognized Mtb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peptide (PRI) that regulates IdeR activity. PRI is induced under iron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limitation; it binds to IdeR and restricts its activity. In addition, we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demonstrate that altering the balance between PRI and IdeR impairs iron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homeostasis and intracellular replication of Mtb in macrophages. The findings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reveal a new paradigm in mycobacterial iron regulation and open new avenues for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targeting iron homeostatic mechanisms in Mtb , which are crucial for virulence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and antibiotic resistance.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DOI: 10.64898/2026.07.13.738276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PMCID: PMC13405025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PMID: 42523242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5E27B3" w:rsidRDefault="00EF53A4" w:rsidP="00311E11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82</w:t>
      </w:r>
      <w:r w:rsidR="00311E11" w:rsidRPr="005E27B3">
        <w:rPr>
          <w:rFonts w:ascii="宋体" w:eastAsia="宋体" w:hAnsi="宋体" w:cs="宋体"/>
          <w:b/>
          <w:color w:val="FF0000"/>
          <w:szCs w:val="24"/>
        </w:rPr>
        <w:t xml:space="preserve">. bioRxiv [Preprint]. 2026 Jul 16:2026.07.10.737547. doi: </w:t>
      </w:r>
    </w:p>
    <w:p w:rsidR="00311E11" w:rsidRPr="005E27B3" w:rsidRDefault="00311E11" w:rsidP="00311E11">
      <w:pPr>
        <w:rPr>
          <w:rFonts w:ascii="宋体" w:eastAsia="宋体" w:hAnsi="宋体" w:cs="宋体"/>
          <w:b/>
          <w:color w:val="FF0000"/>
          <w:szCs w:val="24"/>
        </w:rPr>
      </w:pPr>
      <w:r w:rsidRPr="005E27B3">
        <w:rPr>
          <w:rFonts w:ascii="宋体" w:eastAsia="宋体" w:hAnsi="宋体" w:cs="宋体"/>
          <w:b/>
          <w:color w:val="FF0000"/>
          <w:szCs w:val="24"/>
        </w:rPr>
        <w:t>10.64898/2026.07.10.737547.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Subunit vaccination enhances protection conferred by prior Mycobacterium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tuberculosis exposure.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Cohen SB, Woodworth JS, Lindenstrøm T, Gela A, Duffy FJ, Aitchison JD, Scriba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TJ, Nemes E, Mortensen R, Urdahl KB.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Mycobacterium tuberculosis (Mtb) remains the leading cause of death from a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single infectious agent. Although BCG protects against disseminated tuberculosis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in infants, it has failed to curb transmission among adults. Animal models are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used to prioritize vaccines entering clinical trials, but current models use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Mtb-naïve mice, limiting their relevance to humans in endemic settings, the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primary targets of vaccine trials. Here we used a mouse model of Mtb exposure,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CoMtb, where a cervical lymph node Mtb infection protects against aerosol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challenge, consistent with historical observations in humans that prior Mtb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exposure reduces disease risk. When we compared the impact of CoMtb on vaccine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efficacy, BCG failed to provide added protection over CoMtb, while protein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subunit vaccination further reduced lung burdens. This protection was associated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with decreased KLRG1+ vascular CD4+ T cells and enhanced polyfunctional lung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CD4+ T cells before and after aerosol challenge. Our findings were corroborated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in an analysis of vaccinated humans stratified by QuantiFERON-TB status, which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revealed a similar enrichment of polyfunctional CD4+ T cells in Mtb-exposed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individuals. These data support the use of CoMtb to test vaccine efficacy in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Mtb-exposed individuals and highlight the potential of subunit vaccines in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endemic regions.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DOI: 10.64898/2026.07.10.737547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PMCID: PMC13404654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PMID: 42523239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5E27B3" w:rsidRDefault="00EF53A4" w:rsidP="00311E11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83</w:t>
      </w:r>
      <w:r w:rsidR="00311E11" w:rsidRPr="005E27B3">
        <w:rPr>
          <w:rFonts w:ascii="宋体" w:eastAsia="宋体" w:hAnsi="宋体" w:cs="宋体"/>
          <w:b/>
          <w:color w:val="FF0000"/>
          <w:szCs w:val="24"/>
        </w:rPr>
        <w:t>. Curr Pharm Des. 2026 Jul 25. doi: 10.2174/011381</w:t>
      </w:r>
      <w:r w:rsidR="005E27B3">
        <w:rPr>
          <w:rFonts w:ascii="宋体" w:eastAsia="宋体" w:hAnsi="宋体" w:cs="宋体"/>
          <w:b/>
          <w:color w:val="FF0000"/>
          <w:szCs w:val="24"/>
        </w:rPr>
        <w:t xml:space="preserve">6128487631260714165258. Online </w:t>
      </w:r>
      <w:r w:rsidR="00311E11" w:rsidRPr="005E27B3">
        <w:rPr>
          <w:rFonts w:ascii="宋体" w:eastAsia="宋体" w:hAnsi="宋体" w:cs="宋体"/>
          <w:b/>
          <w:color w:val="FF0000"/>
          <w:szCs w:val="24"/>
        </w:rPr>
        <w:t>ahead of print.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Modern Trends in the Development of Natural and Synthetic Anti-Tuberculosis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Drugs.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Calderon Guzman D(1), Juarez Olguin H(2), Trujillo Jimenez F(3), Hernandez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Garcia E(3), Ortiz Herrera M(4), Rojas Ochoa A(5), Santamaria Del Angel D(1),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Chavez Pacheco JL(3).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(1)Laboratory of Neuroscience. Instituto Nacional de Pediatria (INP) Mexico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City, Mexico.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(2)Department of Pharmacology, Faculty of Medicine, Universidad Nacional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Autonoma de Mexico, Mexico City, Mexico.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(3)Laboratory of Pharmacology, INP, Mexico City, 04530, Mexico.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(4)Laboratory of Experimental Bacteriology, INP, Mexico City, 04530, Mexico.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(5)Laboratory of Experimental Oncology, INP, Mexico City, 04530, Mexico.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Tuberculosis (TB) pathogenesis is driven by the rapid proliferation of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Mycobacterium tuberculosis bacilli, which breach host defenses to invade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pulmonary tissue and precipitate active disease. While both natural and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synthetic compounds have contributed to successful Mycobacterium tuberculosis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(Mtb) therapies, researchers should now prioritize harnessing the synergistic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effects of complementary treatments to maximize efficacy. Deploying natural and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synthetic small molecules offers a powerful strategy to circumvent drug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resistance, enhance Mycobacterium tuberculosis (MTB) therapeutic efficacy, and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minimize the toxicities associated with conventional regimens and emerging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PROTAC modalities. Consequently, clarifying how these natural and synthetic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agents target resistant strains and alter associated genetic biomarkers is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essential. This paper reviews recent advancements in natural and synthetic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drugs, highlighting their structure-activity relationships to enhance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anti-tuberculosis (TB) therapies. Additionally, we present a novel computational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framework utilizing target prediction and probability scoring to identify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high-potential synthetic compounds for future first-line TB regimens.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Copyright© Bentham Science Publishers; For any queries, please email at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epub@benthamscience.net.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DOI: 10.2174/0113816128487631260714165258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PMID: 42522302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5E27B3" w:rsidRDefault="00EF53A4" w:rsidP="00311E11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84</w:t>
      </w:r>
      <w:r w:rsidR="00311E11" w:rsidRPr="005E27B3">
        <w:rPr>
          <w:rFonts w:ascii="宋体" w:eastAsia="宋体" w:hAnsi="宋体" w:cs="宋体"/>
          <w:b/>
          <w:color w:val="FF0000"/>
          <w:szCs w:val="24"/>
        </w:rPr>
        <w:t>. RSC Med Chem. 2026 Jun 23. doi: 10.1039/d6md00418k. Online ahead of print.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Exploring the antimycobacterial profile of N-alkyl imidazoles.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Recio-Balsells AI(1), Di Gresia G(1), Merli ML(1)(2), Cricco JA(2), Morbidoni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HR(3)(4), Labadie GR(1)(5).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(1)Instituto de Química Rosario (IQUIR-CONICET-UNR) Suipacha 531 S2002LRK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Rosario Argentina labadie@iquir-conicet.gov.ar.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(2)Instituto de Biología Molecular y Celular de Rosario (IBR-CONICET-UNR) Ocampo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y Esmeralda 2000 Rosario Argentina.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(3)Laboratorio de Microbiología Molecular, Facultad de Ciencias Médicas,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Universidad Nacional de Rosario Santa Fe 3100 S2002KTR Rosario Argentina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morbiatny@yahoo.com.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(4)Consejo de Investigaciones, Universidad Nacional de Rosario Argentina.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(5)Departamento de Química Orgánica, Facultad de Ciencias Bioquímicas y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Farmacéuticas, Universidad Nacional de Rosario Suipacha 531 S2002LRK Rosario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Argentina.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The emergence of drug-resistant Mycobacterium tuberculosis strains and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non-tuberculous mycobacteria (NTM) species such as Mycobacterium abscessus,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highlights the urgent need for new chemotypes with broad-spectrum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antimycobacterial activity. In this study, a series of 1,2,3-triazole-containing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compounds and their analogues were evaluated against slow- and fast-growing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mycobacteria. While some triazole derivatives exhibited moderate activity,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structurally related imidazole and indole analogues lacking the triazole motif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were more effective. Based on these findings, we focused on a series of N-alkyl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imidazole derivatives bearing linear alkyl chains or ω-functionalized groups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(alcohol or ester). Selected hits, D17, D18, D19 (with octyl, decyl, and cetyl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chains, respectively), ester D23, and alcohol D25, were evaluated against M.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tuberculosis H37Rv and M. abscessus, and for cytotoxicity in Vero cells. Among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the selected hits, compounds D17 and D18 exhibited dual activity against both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mycobacterial species and favourable selectivity indices. These findings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position N-alkyl imidazoles, particularly D17 and D18, as promising starting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points for lead optimization in the development of new antimycobacterial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therapeutic agents.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This journal is © The Royal Society of Chemistry.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DOI: 10.1039/d6md00418k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PMCID: PMC13384108</w:t>
      </w:r>
    </w:p>
    <w:p w:rsidR="00311E11" w:rsidRPr="00311E11" w:rsidRDefault="005E27B3" w:rsidP="00311E11">
      <w:pPr>
        <w:rPr>
          <w:rFonts w:ascii="宋体" w:eastAsia="宋体" w:hAnsi="宋体" w:cs="宋体" w:hint="eastAsia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t>PMID: 42519714</w:t>
      </w:r>
    </w:p>
    <w:p w:rsidR="00311E11" w:rsidRPr="00311E11" w:rsidRDefault="00311E11" w:rsidP="00311E11">
      <w:pPr>
        <w:rPr>
          <w:rFonts w:ascii="宋体" w:eastAsia="宋体" w:hAnsi="宋体" w:cs="宋体" w:hint="eastAsia"/>
          <w:color w:val="000000" w:themeColor="text1"/>
          <w:szCs w:val="24"/>
        </w:rPr>
      </w:pPr>
    </w:p>
    <w:p w:rsidR="00311E11" w:rsidRPr="005E27B3" w:rsidRDefault="00EF53A4" w:rsidP="00311E11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85</w:t>
      </w:r>
      <w:r w:rsidR="00311E11" w:rsidRPr="005E27B3">
        <w:rPr>
          <w:rFonts w:ascii="宋体" w:eastAsia="宋体" w:hAnsi="宋体" w:cs="宋体"/>
          <w:b/>
          <w:color w:val="FF0000"/>
          <w:szCs w:val="24"/>
        </w:rPr>
        <w:t xml:space="preserve">. Case Rep Infect Dis. 2026 Jul 20;2026:2518518. doi: 10.1155/crdi/2518518. </w:t>
      </w:r>
    </w:p>
    <w:p w:rsidR="00311E11" w:rsidRPr="005E27B3" w:rsidRDefault="00311E11" w:rsidP="00311E11">
      <w:pPr>
        <w:rPr>
          <w:rFonts w:ascii="宋体" w:eastAsia="宋体" w:hAnsi="宋体" w:cs="宋体"/>
          <w:b/>
          <w:color w:val="FF0000"/>
          <w:szCs w:val="24"/>
        </w:rPr>
      </w:pPr>
      <w:r w:rsidRPr="005E27B3">
        <w:rPr>
          <w:rFonts w:ascii="宋体" w:eastAsia="宋体" w:hAnsi="宋体" w:cs="宋体"/>
          <w:b/>
          <w:color w:val="FF0000"/>
          <w:szCs w:val="24"/>
        </w:rPr>
        <w:t>eCollection 2026.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Unmasking Tuberculosis Pericarditis: The Role of Xpert MTB/RIF in Early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Diagnosis and Treatment-A Case Report.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Nanda S(1), Shyam T(1), K C P(1), Ndulue O(1), Jacobs D(1), Seitllari A(1),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Sharma S(1), Lin YS(1), Shetty V(1).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(1)Internal Medicine, Maimonides Medical Center, Brooklyn, New York, USA,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maimonidesmed.org.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Tuberculous pericarditis (TBP) is an uncommon but serious form of extrapulmonary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tuberculosis that remains diagnostically challenging due to its nonspecific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clinical features and the limited sensitivity of conventional methods such as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smear microscopy, culture, and histopathology. We describe an 80-year-old man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presenting with recurrent fever and weakness, found to have a large pericardial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effusion with tamponade physiology requiring emergent pericardial window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drainage. Pericardial fluid analysis demonstrated an exudative,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lymphocyte-predominant effusion with elevated lactate dehydrogenase and low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glucose levels, but initial acid-fast bacillus smear, histopathology, and sputum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studies were negative. Xpert MTB/RIF testing performed on pericardial fluid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detected Mycobacterium tuberculosis, enabling early initiation of antitubercular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therapy prior to culture confirmation. This case underscores the importance of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considering TBP in patients with unexplained pericardial effusion, particularly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in those with epidemiologic risk factors, and highlights the diagnostic value of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Xpert MTB/RIF as a rapid and highly specific molecular assay that can expedite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diagnosis and improve clinical outcomes.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Copyright © 2026 Saumya Nanda et al. Case Reports in Infectious Diseases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published by John Wiley &amp; Sons Ltd.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DOI: 10.1155/crdi/2518518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PMCID: PMC13383240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PMID: 42518946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5E27B3" w:rsidRDefault="00EF53A4" w:rsidP="00311E11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86</w:t>
      </w:r>
      <w:r w:rsidR="00311E11" w:rsidRPr="005E27B3">
        <w:rPr>
          <w:rFonts w:ascii="宋体" w:eastAsia="宋体" w:hAnsi="宋体" w:cs="宋体"/>
          <w:b/>
          <w:color w:val="FF0000"/>
          <w:szCs w:val="24"/>
        </w:rPr>
        <w:t xml:space="preserve">. Respirol Case Rep. 2026 Jul 20;14(7):e70694. doi: 10.1002/rcr2.70694. </w:t>
      </w:r>
    </w:p>
    <w:p w:rsidR="00311E11" w:rsidRPr="005E27B3" w:rsidRDefault="00311E11" w:rsidP="00311E11">
      <w:pPr>
        <w:rPr>
          <w:rFonts w:ascii="宋体" w:eastAsia="宋体" w:hAnsi="宋体" w:cs="宋体"/>
          <w:b/>
          <w:color w:val="FF0000"/>
          <w:szCs w:val="24"/>
        </w:rPr>
      </w:pPr>
      <w:r w:rsidRPr="005E27B3">
        <w:rPr>
          <w:rFonts w:ascii="宋体" w:eastAsia="宋体" w:hAnsi="宋体" w:cs="宋体"/>
          <w:b/>
          <w:color w:val="FF0000"/>
          <w:szCs w:val="24"/>
        </w:rPr>
        <w:t>eCollection 2026 Jul.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 Rare Case of Scrofuloderma Presenting as Recurrent Tuberculosis in a Young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Patient.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Okada Y(1), Okada A(1)(2), Miyagawa S(1), Arimoto A(1), Furumuro T(1), Izuka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M(1), Watabe Y(1), Sato I(1), Inui Y(1), Ueda M(1), Ibaraki T(1), Takenaka H(1),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Choh S(1).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(1)Department of Respiratory Medicine Osaka Saiseikai Suita Hospital Suita Osaka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Japan.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(2)Department of Respiratory Medicine Suita Tokushukai Hospital Suita Osaka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Japan.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 23-year-old Indonesian man was referred to our institution due to a skin ulcer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with white exudate on the right chest wall. He had undergone treatment for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pulmonary tuberculosis (TB) in Indonesia 3</w:t>
      </w:r>
      <w:r w:rsidRPr="00311E11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years prior to the consultation.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Chest ultrasonography and computed tomography revealed multiple intercostal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abscesses and a thickened right pleura with calcification. Histological findings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from a skin biopsy of the ulcer and a positive polymerase chain reaction for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Mycobacterium tuberculosis in the exudate indicated the involvement of TB. Based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on these findings, the patient was diagnosed with scrofuloderma and multiple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intercostal abscesses. Recurrent TB may result from either the regrowth of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residual strains or reinfection with a different strain. This report highlights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that recurrent TB can manifest as scrofuloderma through contiguous spread from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underlying intercostal abscesses. In cases of skin ulcers with an unclear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aetiology, thorough histopathological and bacteriological assessments facilitate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a prompt and accurate diagnosis.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 2026 The Author(s). Respirology Case Reports published by John Wiley &amp; Sons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Australia, Ltd on behalf of The Asian Pacific Society of Respirology.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DOI: 10.1002/rcr2.70694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PMCID: PMC13384745</w:t>
      </w:r>
    </w:p>
    <w:p w:rsidR="00311E11" w:rsidRPr="00311E11" w:rsidRDefault="005E27B3" w:rsidP="00311E11">
      <w:pPr>
        <w:rPr>
          <w:rFonts w:ascii="宋体" w:eastAsia="宋体" w:hAnsi="宋体" w:cs="宋体" w:hint="eastAsia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t>PMID: 42518689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5E27B3" w:rsidRDefault="00EF53A4" w:rsidP="00311E11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87</w:t>
      </w:r>
      <w:r w:rsidR="00311E11" w:rsidRPr="005E27B3">
        <w:rPr>
          <w:rFonts w:ascii="宋体" w:eastAsia="宋体" w:hAnsi="宋体" w:cs="宋体"/>
          <w:b/>
          <w:color w:val="FF0000"/>
          <w:szCs w:val="24"/>
        </w:rPr>
        <w:t xml:space="preserve">. Lancet Reg Health Am. 2026 Jul 13;62:101572. doi: 10.1016/j.lana.2026.101572. </w:t>
      </w:r>
    </w:p>
    <w:p w:rsidR="00311E11" w:rsidRPr="005E27B3" w:rsidRDefault="00311E11" w:rsidP="00311E11">
      <w:pPr>
        <w:rPr>
          <w:rFonts w:ascii="宋体" w:eastAsia="宋体" w:hAnsi="宋体" w:cs="宋体"/>
          <w:b/>
          <w:color w:val="FF0000"/>
          <w:szCs w:val="24"/>
        </w:rPr>
      </w:pPr>
      <w:r w:rsidRPr="005E27B3">
        <w:rPr>
          <w:rFonts w:ascii="宋体" w:eastAsia="宋体" w:hAnsi="宋体" w:cs="宋体"/>
          <w:b/>
          <w:color w:val="FF0000"/>
          <w:szCs w:val="24"/>
        </w:rPr>
        <w:t>eCollection 2026 Oct.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Socioeconomic dynamics and tuberculosis mortality in São Paulo: a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population-level analysis using spatial modeling.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Alves YM(1), Tavares RBV(1), Zini N(1), Barbosa TP(1), Pelodan MEP(1), Ramos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ACV(2), Alecrim TFA(1), Ballestero JGA(1), Andrade BB(3)(4)(5), Farley JE(6),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Arcêncio RA(1).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(1)Department of Maternal-Infant and Public Health Nursing, Ribeirão Preto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College of Nursing, University of São Paulo, Ribeirão Preto, Brazil.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(2)Department of Nursing, State University of Minas Gerais, Passos Câmpus,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Passos, Minas Gerais, Brazil.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(3)Division of Infectious Diseases, Department of Medicine, Johns Hopkins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University, Baltimore, MD, United States of America.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(4)Department of International Health, Bloomberg School of Public Health, Johns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Hopkins University, Baltimore, MD, United States of America.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(5)Clinical and Translational Research Laboratory, Gonçalo Moniz Institute,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Oswaldo Cruz Foundation, Salvador, Bahia, Brazil.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(6)Johns Hopkins University School of Nursing, Baltimore, MD, United States of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America.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5E27B3">
        <w:rPr>
          <w:rFonts w:ascii="宋体" w:eastAsia="宋体" w:hAnsi="宋体" w:cs="宋体"/>
          <w:b/>
          <w:color w:val="000000" w:themeColor="text1"/>
          <w:szCs w:val="24"/>
        </w:rPr>
        <w:t xml:space="preserve">BACKGROUND: 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Tuberculosis remains a major cause of preventable mortality in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Brazil, marked by pronounced social and territorial inequalities. Evidence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remains limited on how socioeconomic conditions and health system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characteristics are associated with tuberculosis mortality across age groups in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high-burden settings such as São Paulo state. This study aimed to examine the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spatial and temporal associations of these factors with tuberculosis mortality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across municipalities in the State of São Paulo, Brazil.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5E27B3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 We conducted a population-based ecological study in São Paulo, Brazil.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All TB deaths reported to the Mortality Information System from 2020 to 2024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were included. Socioeconomic, demographic and health system factors were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selected based on a conceptual framework. Variables associated with TB mortality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were assessed using Generalized Additive Models for Location, Scale, and Shape,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with spatial smoothing.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5E27B3">
        <w:rPr>
          <w:rFonts w:ascii="宋体" w:eastAsia="宋体" w:hAnsi="宋体" w:cs="宋体"/>
          <w:b/>
          <w:color w:val="000000" w:themeColor="text1"/>
          <w:szCs w:val="24"/>
        </w:rPr>
        <w:t xml:space="preserve">FINDINGS: 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The analysis included 38,700 municipality-month observations. In the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final spatial GAMLSS model, proportions of household crowding (&gt;2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residents/bedroom) and elderly population (&gt;59 years) were associated with 3.25%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and 5.92% increases in expected TB mortality for each one percentage-point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increase, respectively. In contrast, each one percentage-point increase in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primary health care coverage was associated with a 0.30% decrease in expected TB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mortality. The fitted spatial effect indicated higher expected TB mortality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along coastal and central regions, and lower expected mortality in the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northwestern region.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5E27B3">
        <w:rPr>
          <w:rFonts w:ascii="宋体" w:eastAsia="宋体" w:hAnsi="宋体" w:cs="宋体"/>
          <w:b/>
          <w:color w:val="000000" w:themeColor="text1"/>
          <w:szCs w:val="24"/>
        </w:rPr>
        <w:t>INTERPRETATION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: Tuberculosis mortality in São Paulo is shaped by persistent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socioeconomic and territorial inequalities, with distinct patterns across age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groups. These findings highlight the need for strategies that address structural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vulnerability and strengthen primary health care to reduce avoidable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tuberculosis-related deaths.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FUNDING: This work was supported by Coordenação de Aperfeiçoamento de Pessoal de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Nível Superior-Brasil and São Paulo State Research Foundation (FAPESP).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 2026 The Author(s).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DOI: 10.1016/j.lana.2026.101572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PMCID: PMC13382474</w:t>
      </w:r>
    </w:p>
    <w:p w:rsidR="00311E11" w:rsidRPr="00311E11" w:rsidRDefault="005E27B3" w:rsidP="00311E11">
      <w:pPr>
        <w:rPr>
          <w:rFonts w:ascii="宋体" w:eastAsia="宋体" w:hAnsi="宋体" w:cs="宋体" w:hint="eastAsia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t>PMID: 42518665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5E27B3" w:rsidRDefault="00EF53A4" w:rsidP="00311E11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88</w:t>
      </w:r>
      <w:r w:rsidR="00311E11" w:rsidRPr="005E27B3">
        <w:rPr>
          <w:rFonts w:ascii="宋体" w:eastAsia="宋体" w:hAnsi="宋体" w:cs="宋体"/>
          <w:b/>
          <w:color w:val="FF0000"/>
          <w:szCs w:val="24"/>
        </w:rPr>
        <w:t xml:space="preserve">. Open Forum Infect Dis. 2026 Jul 20;13(7):ofag405. doi: 10.1093/ofid/ofag405. </w:t>
      </w:r>
    </w:p>
    <w:p w:rsidR="00311E11" w:rsidRPr="005E27B3" w:rsidRDefault="00311E11" w:rsidP="00311E11">
      <w:pPr>
        <w:rPr>
          <w:rFonts w:ascii="宋体" w:eastAsia="宋体" w:hAnsi="宋体" w:cs="宋体"/>
          <w:b/>
          <w:color w:val="FF0000"/>
          <w:szCs w:val="24"/>
        </w:rPr>
      </w:pPr>
      <w:r w:rsidRPr="005E27B3">
        <w:rPr>
          <w:rFonts w:ascii="宋体" w:eastAsia="宋体" w:hAnsi="宋体" w:cs="宋体"/>
          <w:b/>
          <w:color w:val="FF0000"/>
          <w:szCs w:val="24"/>
        </w:rPr>
        <w:t>eCollection 2026 Jul.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Characteristics, Treatment Strategies, and Long-term Health Outcomes of People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With Bedaquiline-resistant Tuberculosis in Karakalpakstan, Uzbekistan-A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Retrospective Cohort Study.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Saunders MJ(1)(2)(3), Garsevanidze E(4), Allamuratova S(4), Cholakyans V(4),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Sharma J(4), Ismailov A(4), Gomez D(5), Rekart ML(4), Nair P(4), Moe S(4), Tigay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Z(6), Parpieva N(7), Safaev K(7), Gomez-Restrepo C(8), Sitali N(9), Alvarez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lastRenderedPageBreak/>
        <w:t>JL(1), Sinha A(1).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(1)Manson Unit, Médecins Sans Frontières, London, UK.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(2)Institute for Infection and Immunity, City St George's, University of London,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London, UK.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(3)Faculty of Public Health and Policy, London School of Hygiene &amp; Tropical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Medicine, London, UK.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(4)Medical Department, Médecins Sans Frontières, Nukus, Uzbekistan.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(5)Public Health Department, Médecins Sans Frontières, Amsterdam, Netherlands.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(6)Republican Center of Tuberculosis and Pulmonology, Nukus, Uzbekistan.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(7)Republican Specialized Scientific and Practical Medical Center of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Tuberculosis and Pulmonology, Tashkent, Uzbekistan.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(8)Medical Department, Médecins Sans Frontières, Tashkent, Uzbekistan.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(9)Public Health Department, Médecins Sans Frontières, Berlin, Germany.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5E27B3">
        <w:rPr>
          <w:rFonts w:ascii="宋体" w:eastAsia="宋体" w:hAnsi="宋体" w:cs="宋体"/>
          <w:b/>
          <w:color w:val="000000" w:themeColor="text1"/>
          <w:szCs w:val="24"/>
        </w:rPr>
        <w:t>BACKGROUND: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 Bedaquiline resistance is increasing globally, threatening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effectiveness of short regimens for rifampicin/multidrug-resistant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(RR/MDR)-tuberculosis. Limited data exist describing the treatment and long-term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outcomes of people with bedaquiline-resistant tuberculosis.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5E27B3">
        <w:rPr>
          <w:rFonts w:ascii="宋体" w:eastAsia="宋体" w:hAnsi="宋体" w:cs="宋体"/>
          <w:b/>
          <w:color w:val="000000" w:themeColor="text1"/>
          <w:szCs w:val="24"/>
        </w:rPr>
        <w:t>METHODS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: We did a retrospective cohort study of patients with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bedaquiline-resistant tuberculosis in Karakalpakstan, Uzbekistan, from January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2017 until June 2025. Clinical and laboratory records were reviewed to describe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treatment regimens, drug sensitivity profiles, and sputum results. We measured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time to sustained sputum culture conversion (SCC), mortality, and the proportion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of patients who had tuberculosis-free survival (alive, and had completed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treatment or were in care, and had SCC) 18 months after bedaquiline resistance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was detected.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5E27B3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 Among 50 patients with bedaquiline-resistant tuberculosis who received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treatment, the median age was 41 years (IQR: 27-52), 64% (32/50) were male, 69%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(34/49) had fluoroquinolone resistance, and 32% (16/50) had not previously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received bedaquiline. The median treatment duration was 18.8 months (IQR: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9.0-22.4), with bedaquiline prescribed for 84% for a median 5.6 months (IQR: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2.2-12.9), imipenem for 66% for a median 8.1 months (IQR: 4.5-11.3), and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amikacin for 50% for a median 7.9 months (IQR: 4.4-11.1). The median time to SCC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was 5.9 months (IQR: 2.1-15.9) and the probabilities of survival to 18 months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and 5 years were 79.7% (95% CI: 69.2-91.8) and 63.4% (95% CI: 48.8-82.4). Of 48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patients who had an assessable 18-month outcome, 60.4% (29/48) had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tuberculosis-free survival.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5E27B3">
        <w:rPr>
          <w:rFonts w:ascii="宋体" w:eastAsia="宋体" w:hAnsi="宋体" w:cs="宋体"/>
          <w:b/>
          <w:color w:val="000000" w:themeColor="text1"/>
          <w:szCs w:val="24"/>
        </w:rPr>
        <w:t>CONCLUSIONS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: Management of bedaquiline-resistant tuberculosis in Uzbekistan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required prolonged antituberculosis therapy, often with injectables, resulting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in delayed culture conversion and poor long-term health outcomes.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 The Author(s) 2026. Published by Oxford University Press on behalf of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lastRenderedPageBreak/>
        <w:t>Infectious Diseases Society of America.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DOI: 10.1093/ofid/ofag405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PMCID: PMC13403083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PMID: 42517152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5E27B3" w:rsidRDefault="00EF53A4" w:rsidP="00311E11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89</w:t>
      </w:r>
      <w:r w:rsidR="00311E11" w:rsidRPr="005E27B3">
        <w:rPr>
          <w:rFonts w:ascii="宋体" w:eastAsia="宋体" w:hAnsi="宋体" w:cs="宋体"/>
          <w:b/>
          <w:color w:val="FF0000"/>
          <w:szCs w:val="24"/>
        </w:rPr>
        <w:t xml:space="preserve">. Open Forum Infect Dis. 2026 Jul 7;13(7):ofag424. doi: 10.1093/ofid/ofag424. </w:t>
      </w:r>
    </w:p>
    <w:p w:rsidR="00311E11" w:rsidRPr="005E27B3" w:rsidRDefault="00311E11" w:rsidP="00311E11">
      <w:pPr>
        <w:rPr>
          <w:rFonts w:ascii="宋体" w:eastAsia="宋体" w:hAnsi="宋体" w:cs="宋体"/>
          <w:b/>
          <w:color w:val="FF0000"/>
          <w:szCs w:val="24"/>
        </w:rPr>
      </w:pPr>
      <w:r w:rsidRPr="005E27B3">
        <w:rPr>
          <w:rFonts w:ascii="宋体" w:eastAsia="宋体" w:hAnsi="宋体" w:cs="宋体"/>
          <w:b/>
          <w:color w:val="FF0000"/>
          <w:szCs w:val="24"/>
        </w:rPr>
        <w:t>eCollection 2026 Jul.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Prevalence and Mortality due to Mycobacterium tuberculosis Bloodstream Infection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in Adults With HIV: A Multicountry Prospective Cohort Study.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Sossen B(1)(2), Mukoka M(3)(4), Székely R(5)(6), Muyoyeta M(7), Nakabugo E(8),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Hella J(9), Van Nguyen H(10), Ubolyam S(11)(12), Vermeulen M(13), Centner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CM(14)(15), Nyangu S(7), Sanjase N(7), Sasamalo M(9), Dinh HT(10), Ngo TA(16),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Manosuthi W(17), Jirajariyavej S(18), Nguyen NV(10), Avihingsanon A(11)(12),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Denkinger CM(19)(20)(21), Reither K(22)(23), Nakiyingi L(8), Kerkhoff AD(24),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Ruhwald M(5)(25), Meintjes G(1)(2)(26), MacPherson P(27).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(1)Department of Medicine, Faculty of Health Sciences, University of Cape Town,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Cape Town, South Africa.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(2)Institute of Infectious Disease and Molecular Medicine, University of Cape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Town, Cape Town, South Africa.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(3)Public Health Group, Malawi-Liverpool-Wellcome Programme, Blantyre, Malawi.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(4)Department of Pathology, Kamuzu University of Health Sciences, Blantyre,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Malawi.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(5)FIND, Geneva, Switzerland.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(6)Laboratory for Intelligent Global Health and Humanitarian Response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Technologies, EPFL, Lausanne, Switzerland.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(7)Centre for Infectious Disease Research in Zambia, Lusaka, Zambia.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(8)Infectious Diseases Institute, College of Health Sciences, Makerere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University, Kampala, Uganda.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(9)Ifakara Health Institute, Dar es Salaam, Tanzania.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(10)National Lung Hospital, Ha Noi, Viet Nam.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(11)HIV-NAT, Thai Red Cross AIDS and Infectious Diseases Research Centre,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Bangkok, Thailand.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(12)Center of Excellence in Tuberculosis, Faculty of Medicine, Chulalongkorn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University, Bangkok, Thailand.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(13)Wellcome Center for Infectious Diseases Research in Africa, Institute of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Infectious Disease and Molecular Medicine, University of Cape Town, Cape Town,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South Africa.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(14)Division of Medical Microbiology, University of Cape Town, Cape Town, South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Africa.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(15)National Health Laboratory Service, Groote Schuur Hospital, Cape Town, South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Africa.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(16)Viet Tiep Hospital, Hai Phong, Viet Nam.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(17)Bamrasnaradura Infectious Diseases Institute, Nonthaburi, Thailand.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(18)Taksin Hospital, Bangkok, Thailand.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(19)Division of Infectious Disease and Tropical Medicine, Heidelberg University,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Medical Faculty, Heidelberg, Germany.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(20)Faculty of Medicine, Heidelberg University, Heidelberg, Germany.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(21)German Centre for Infection Research, Partner Site Heidelberg University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Hospital, Heidelberg, Germany.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(22)Swiss Tropical and Public Health Institute, Allschwil, Switzerland.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(23)University of Basel, Basel, Switzerland.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(24)Division of HIV, Infectious Diseases, and Global Medicine, Zuckerberg San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Francisco General Hospital and Trauma Center, University of California San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Francisco, San Francisco, California, USA.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(25)Novo Nordisk Foundation Initiative for Vaccine and Immunity,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NIVI-Development, Panum Institute, Copenhagen, Denmark.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(26)Blizard Institute, Faculty of Medicine and Dentistry, Queen Mary University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of London, London, UK.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(27)School of Health &amp; Wellbeing, University of Glasgow, Glasgow, UK.</w:t>
      </w:r>
    </w:p>
    <w:p w:rsidR="00311E11" w:rsidRPr="005E27B3" w:rsidRDefault="00311E11" w:rsidP="00311E11">
      <w:pPr>
        <w:rPr>
          <w:rFonts w:ascii="宋体" w:eastAsia="宋体" w:hAnsi="宋体" w:cs="宋体"/>
          <w:b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5E27B3">
        <w:rPr>
          <w:rFonts w:ascii="宋体" w:eastAsia="宋体" w:hAnsi="宋体" w:cs="宋体"/>
          <w:b/>
          <w:color w:val="000000" w:themeColor="text1"/>
          <w:szCs w:val="24"/>
        </w:rPr>
        <w:t>BACKGROUND: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 HIV-associated tuberculosis is a leading cause of mortality.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Mycobacterium tuberculosis bloodstream infection (MTB-BSI) is complicated by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diagnostic difficulty and severe illness. We assessed whether MTB-BSI continues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to be common in the era of widespread antiretroviral therapy and whether it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continues to result in increased risk of early mortality.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5E27B3">
        <w:rPr>
          <w:rFonts w:ascii="宋体" w:eastAsia="宋体" w:hAnsi="宋体" w:cs="宋体"/>
          <w:b/>
          <w:color w:val="000000" w:themeColor="text1"/>
          <w:szCs w:val="24"/>
        </w:rPr>
        <w:t>METHODS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: We enrolled inpatients from medical wards irrespective of tuberculosis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symptoms and outpatients with tuberculosis symptoms. All participants had HIV </w:t>
      </w:r>
    </w:p>
    <w:p w:rsidR="00311E11" w:rsidRPr="00311E11" w:rsidRDefault="00311E11" w:rsidP="00311E11">
      <w:pPr>
        <w:rPr>
          <w:rFonts w:ascii="宋体" w:eastAsia="宋体" w:hAnsi="宋体" w:cs="宋体" w:hint="eastAsia"/>
          <w:color w:val="000000" w:themeColor="text1"/>
          <w:szCs w:val="24"/>
        </w:rPr>
      </w:pPr>
      <w:r w:rsidRPr="00311E11">
        <w:rPr>
          <w:rFonts w:ascii="宋体" w:eastAsia="宋体" w:hAnsi="宋体" w:cs="宋体" w:hint="eastAsia"/>
          <w:color w:val="000000" w:themeColor="text1"/>
          <w:szCs w:val="24"/>
        </w:rPr>
        <w:t xml:space="preserve">and were ≥18 years old, and all were recruited from 7 countries: Malawi, South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Africa, Tanzania, Thailand, Uganda, Vietnam, and Zambia. Participants also had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&lt;3 doses of antituberculosis treatment in the past 60 days and no isoniazid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preventive therapy in the past 6 months. We estimated the prevalence of MTB-BSI.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In Bayesian survival models, we estimated the hazards of mortality for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inpatients with MTB-BSI vs those without.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5E27B3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 Between 2019 and 2021, 1703 participants were included: 44% were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hospitalized, the median CD4 count was 361</w:t>
      </w:r>
      <w:r w:rsidRPr="00311E11">
        <w:rPr>
          <w:rFonts w:ascii="MS Gothic" w:eastAsia="MS Gothic" w:hAnsi="MS Gothic" w:cs="MS Gothic" w:hint="eastAsia"/>
          <w:color w:val="000000" w:themeColor="text1"/>
          <w:szCs w:val="24"/>
        </w:rPr>
        <w:t> </w:t>
      </w:r>
      <w:r w:rsidRPr="00311E11">
        <w:rPr>
          <w:rFonts w:ascii="宋体" w:eastAsia="宋体" w:hAnsi="宋体" w:cs="宋体"/>
          <w:color w:val="000000" w:themeColor="text1"/>
          <w:szCs w:val="24"/>
        </w:rPr>
        <w:t>cells/</w:t>
      </w:r>
      <w:r w:rsidRPr="00311E11">
        <w:rPr>
          <w:rFonts w:ascii="宋体" w:eastAsia="宋体" w:hAnsi="宋体" w:cs="宋体" w:hint="eastAsia"/>
          <w:color w:val="000000" w:themeColor="text1"/>
          <w:szCs w:val="24"/>
        </w:rPr>
        <w:t>μ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L, and 77% reported using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antiretroviral therapy. Crude prevalence of MTB-BSI varied by country but was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4.4% (32/723) among all inpatients, 22.5% (32/142) among inpatients with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microbiologically confirmed TB, and 0.2% (2/913) among all outpatients. Among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all inpatients, those with MTB-BSI had 2.65-times (95% credible interval,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1.06-5.01) increased hazard of death by 30 days and 1.79-times (95% credible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interval, .81-3.11) increased hazard by 70 days. Lower CD4 and older age were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strongly associated with mortality.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5E27B3">
        <w:rPr>
          <w:rFonts w:ascii="宋体" w:eastAsia="宋体" w:hAnsi="宋体" w:cs="宋体"/>
          <w:b/>
          <w:color w:val="000000" w:themeColor="text1"/>
          <w:szCs w:val="24"/>
        </w:rPr>
        <w:t>CONCLUSIONS: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 MTB-BSI is far more common for inpatients than outpatients with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HIV. Across multiple settings with high tuberculosis prevalence, MTB-BSI was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strongly associated with heightened risk of early mortality in PWH. Novel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optimized diagnostic and treatment strategies are still needed for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HIV-associated MTB-BSI.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 The Author(s) 2026. Published by Oxford University Press on behalf of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Infectious Diseases Society of America.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DOI: 10.1093/ofid/ofag424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PMCID: PMC13403080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PMID: 42517150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5E27B3" w:rsidRDefault="00EF53A4" w:rsidP="00311E11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90</w:t>
      </w:r>
      <w:r w:rsidR="00311E11" w:rsidRPr="005E27B3">
        <w:rPr>
          <w:rFonts w:ascii="宋体" w:eastAsia="宋体" w:hAnsi="宋体" w:cs="宋体"/>
          <w:b/>
          <w:color w:val="FF0000"/>
          <w:szCs w:val="24"/>
        </w:rPr>
        <w:t xml:space="preserve">. Case Rep Infect Dis. 2026 Jul 26;2026:5770992. doi: 10.1155/crdi/5770992. </w:t>
      </w:r>
    </w:p>
    <w:p w:rsidR="00311E11" w:rsidRPr="005E27B3" w:rsidRDefault="00311E11" w:rsidP="00311E11">
      <w:pPr>
        <w:rPr>
          <w:rFonts w:ascii="宋体" w:eastAsia="宋体" w:hAnsi="宋体" w:cs="宋体"/>
          <w:b/>
          <w:color w:val="FF0000"/>
          <w:szCs w:val="24"/>
        </w:rPr>
      </w:pPr>
      <w:r w:rsidRPr="005E27B3">
        <w:rPr>
          <w:rFonts w:ascii="宋体" w:eastAsia="宋体" w:hAnsi="宋体" w:cs="宋体"/>
          <w:b/>
          <w:color w:val="FF0000"/>
          <w:szCs w:val="24"/>
        </w:rPr>
        <w:t>eCollection 2026.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Pulmonary Tuberculosis and Sarcoidosis Presented With Pleuropericardial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Effusion: A Challenging Case Report.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Hakamifard A(1), Abolghasemi S(2), Heidarpour M(3), Momenzadeh M(4).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(1)Cancer Prevention Research Center, Isfahan University of Medical Sciences,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Isfahan, Iran, mui.ac.ir.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(2)Infectious Diseases and Tropical Medicine Research Center, Shahid Beheshti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University of Medical Sciences, Tehran, Iran, sbmu.ac.ir.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(3)Department of Pathology, School of Medicine, Isfahan University of Medical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Sciences, Isfahan, Iran, mui.ac.ir.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(4)Department of Clinical Pharmacy and Pharmacy Practice and Pharmaceutical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Sciences Research Center, Isfahan University of Medical Sciences, Isfahan, Iran,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mui.ac.ir.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Differentiating tuberculosis (TB) from sarcoidosis, especially in TB endemic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regions, is one of the major clinical challenges because these two diseases may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show considerable similarity in terms of clinical manifestations, imaging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findings, and granulomatous pattern. In addition, the presence of noncaseating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granuloma alone is not sufficient for the definitive diagnosis of sarcoidosis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because in some cases, TB may also show granulomas without necrosis. In this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report, a 83-year-old man is presented with fever, productive cough, chest pain,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weakness, and mild dyspnea, who had a history of pleural and pericardial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effusion, with elevated pericardial adenosine deaminase (ADA), a positive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tuberculin skin test, and pleural granuloma. The patient was initially treated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with anti-TB therapy for probable diagnosis of TB pleurisy and also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corticosteroid for probable sarcoidosis, but because of the development of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drug-induced hepatitis, treatment was interrupted and modified several times. On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subsequent presentation, chest high-resolution computed tomography (HRCT) showed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pericardial thickening, pericardial effusion, pulmonary nodules with a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perilymphatic distribution, right hilar lymphadenopathy, and a cavitary lesion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in the right upper lobe. Sputum smear was 3+ positive for acid-fast bacilli, and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anti-TB treatment was reinitiated. Nevertheless, because of the imaging pattern,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relative response to corticosteroid, and pathologic findings including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non-necrotizing granulomas, the possibility of concurrent sarcoidosis was also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raised. After evaluating the possibility of TB progression and the effect of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interruptions in anti-TB therapy caused by drug-induced hepatitis, the patient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was treated with anti-TB regimen together with prednisolone and later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azathioprine. Hence, the clinical case of pulmonary TB and probable sarcoidosis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has been described in this study. The patient underwent anti-TB and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immunosuppression therapy and experienced significant improvement.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Copyright © 2026 Atousa Hakamifard et al. Case Reports in Infectious Diseases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published by John Wiley &amp; Sons Ltd.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DOI: 10.1155/crdi/5770992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PMCID: PMC13402884</w:t>
      </w:r>
    </w:p>
    <w:p w:rsidR="00311E11" w:rsidRPr="00311E11" w:rsidRDefault="005E27B3" w:rsidP="00311E11">
      <w:pPr>
        <w:rPr>
          <w:rFonts w:ascii="宋体" w:eastAsia="宋体" w:hAnsi="宋体" w:cs="宋体" w:hint="eastAsia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t>PMID: 42517073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5E27B3" w:rsidRDefault="00EF53A4" w:rsidP="00311E11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91</w:t>
      </w:r>
      <w:r w:rsidR="00311E11" w:rsidRPr="005E27B3">
        <w:rPr>
          <w:rFonts w:ascii="宋体" w:eastAsia="宋体" w:hAnsi="宋体" w:cs="宋体"/>
          <w:b/>
          <w:color w:val="FF0000"/>
          <w:szCs w:val="24"/>
        </w:rPr>
        <w:t xml:space="preserve">. Front Microbiol. 2026 Jul 13;17:1859270. doi: 10.3389/fmicb.2026.1859270. </w:t>
      </w:r>
    </w:p>
    <w:p w:rsidR="00311E11" w:rsidRPr="005E27B3" w:rsidRDefault="00311E11" w:rsidP="00311E11">
      <w:pPr>
        <w:rPr>
          <w:rFonts w:ascii="宋体" w:eastAsia="宋体" w:hAnsi="宋体" w:cs="宋体"/>
          <w:b/>
          <w:color w:val="FF0000"/>
          <w:szCs w:val="24"/>
        </w:rPr>
      </w:pPr>
      <w:r w:rsidRPr="005E27B3">
        <w:rPr>
          <w:rFonts w:ascii="宋体" w:eastAsia="宋体" w:hAnsi="宋体" w:cs="宋体"/>
          <w:b/>
          <w:color w:val="FF0000"/>
          <w:szCs w:val="24"/>
        </w:rPr>
        <w:t>eCollection 2026.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Genomic profile and infection dynamics of Kashi_RDG1 (KRDG1), a novel cluster K1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mycobacteriophage infecting mycobacterial hosts.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Kakkar A(1), Kandwal G(1), Nayak T(1), Jaiswal LK(1), Gupta A(1).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(1)Molecular Microbiology Laboratory, Department of Biochemistry, Institute of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Science, Banaras Hindu University, Varanasi, Uttar Pradesh, India.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5E27B3">
        <w:rPr>
          <w:rFonts w:ascii="宋体" w:eastAsia="宋体" w:hAnsi="宋体" w:cs="宋体"/>
          <w:b/>
          <w:color w:val="000000" w:themeColor="text1"/>
          <w:szCs w:val="24"/>
        </w:rPr>
        <w:t xml:space="preserve">INTRODUCTION: 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Tuberculosis (TB), caused by Mycobacterium tuberculosis, remains a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major global health challenge, particularly due to the increasing emergence of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multidrug-resistant strains and limited treatment options. Bacteriophages have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gained attention as potential alternatives or adjuncts to conventional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antibiotics owing to their host specificity and antibacterial efficacy.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5E27B3">
        <w:rPr>
          <w:rFonts w:ascii="宋体" w:eastAsia="宋体" w:hAnsi="宋体" w:cs="宋体"/>
          <w:b/>
          <w:color w:val="000000" w:themeColor="text1"/>
          <w:szCs w:val="24"/>
        </w:rPr>
        <w:t xml:space="preserve">METHODS: 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This study reports the isolation and detailed characterization of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mycobacteriophage Kashi_RDG1 (KRDG1), isolated using Mycobacterium smegmatis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mc2155. Genomic analysis, transmission electron microscopy, host range analysis,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one-step growth assay, adsorption assay, multiplicity of infection (MOI)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determination, and infection kinetics were performed to characterize the phage.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5E27B3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 Genomic analysis identified KRDG1 as sub cluster K1 mycobacteriophage,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with a genome size of 58,681 bp containing 95 predicted open reading frames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(ORFs), of which 39 are functionally annotated. Transmission electron microscopy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analysis confirmed its siphovirus-like morphology while host range analysis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depicted its polyvalent activity against Mycobacterium fortuitum (opportunistic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pathogen) and M. tuberculosis H37Ra (an attenuated Mtb strain) in addition to M.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smegmatis. One-step growth analysis revealed latent period of 80 min and burst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size of 100 phage/bacterial cell supporting its efficient infection dynamics.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Notably, infection kinetics demonstrated strong host bacterial killing during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the logarithmic phase.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5E27B3">
        <w:rPr>
          <w:rFonts w:ascii="宋体" w:eastAsia="宋体" w:hAnsi="宋体" w:cs="宋体"/>
          <w:b/>
          <w:color w:val="000000" w:themeColor="text1"/>
          <w:szCs w:val="24"/>
        </w:rPr>
        <w:t>DISCUSSION: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 While KRDG1 exhibits temperate characteristics, its close genomic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similarity to previously engineered therapeutic phage (ZoeJ) highlights its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potential for future genetic engineering and therapeutic exploration against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pathogenic mycobacterial and non-mycobacterial infections.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Copyright © 2026 Kakkar, Kandwal, Nayak, Jaiswal and Gupta.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DOI: 10.3389/fmicb.2026.1859270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PMCID: PMC13402561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PMID: 42516973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5E27B3" w:rsidRDefault="00EF53A4" w:rsidP="00311E11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92</w:t>
      </w:r>
      <w:r w:rsidR="00311E11" w:rsidRPr="005E27B3">
        <w:rPr>
          <w:rFonts w:ascii="宋体" w:eastAsia="宋体" w:hAnsi="宋体" w:cs="宋体"/>
          <w:b/>
          <w:color w:val="FF0000"/>
          <w:szCs w:val="24"/>
        </w:rPr>
        <w:t xml:space="preserve">. J Glob Infect Dis. 2026 Apr 22;18(2):69-74. doi: 10.4103/jgid.jgid_173_25. </w:t>
      </w:r>
    </w:p>
    <w:p w:rsidR="00311E11" w:rsidRPr="005E27B3" w:rsidRDefault="00311E11" w:rsidP="00311E11">
      <w:pPr>
        <w:rPr>
          <w:rFonts w:ascii="宋体" w:eastAsia="宋体" w:hAnsi="宋体" w:cs="宋体"/>
          <w:b/>
          <w:color w:val="FF0000"/>
          <w:szCs w:val="24"/>
        </w:rPr>
      </w:pPr>
      <w:r w:rsidRPr="005E27B3">
        <w:rPr>
          <w:rFonts w:ascii="宋体" w:eastAsia="宋体" w:hAnsi="宋体" w:cs="宋体"/>
          <w:b/>
          <w:color w:val="FF0000"/>
          <w:szCs w:val="24"/>
        </w:rPr>
        <w:t>eCollection 2026 Apr-Jun.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Trends, Impact, and Collaboration in Scientific Activity on Genital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Tuberculosis.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Guillen-Calle BE(1), Santos DMG(2), Liñan-Bermudez A(2), Chafloque-Chavesta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JJ(3), Salvatierra ES(2), Barja-Ore J(3).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(1)Sub-unit of Research and Technological Innovation, Instituto Nacional de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Salud del Niño San Borja, San Borja, Lima, Perú.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(2)Department of Academic, Universidad Nacional Mayor de San Marcos, San Marcos,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Lima, Perú.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(3)Department of Academic, Universidad Privada del Norte, Lima, Perú.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5E27B3">
        <w:rPr>
          <w:rFonts w:ascii="宋体" w:eastAsia="宋体" w:hAnsi="宋体" w:cs="宋体"/>
          <w:b/>
          <w:color w:val="000000" w:themeColor="text1"/>
          <w:szCs w:val="24"/>
        </w:rPr>
        <w:t xml:space="preserve">INTRODUCTION: 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Genital tuberculosis is a secondary form of extrapulmonary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tuberculosis and represents a public health issue. This study aims to analyze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the trend, impact, and collaboration in scientific activity related to genital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tuberculosis.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5E27B3">
        <w:rPr>
          <w:rFonts w:ascii="宋体" w:eastAsia="宋体" w:hAnsi="宋体" w:cs="宋体"/>
          <w:b/>
          <w:color w:val="000000" w:themeColor="text1"/>
          <w:szCs w:val="24"/>
        </w:rPr>
        <w:t xml:space="preserve">METHODS: 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 descriptive bibliometric study was conducted on 237 articles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published in Scopus-indexed journals addressing the topic of genital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tuberculosis. The search employed MESH terms and logical operators; bibliometric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metrics were estimated using the SciVal tool. In addition, the VOS viewer was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lastRenderedPageBreak/>
        <w:t>used to represent a coauthorship network.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5E27B3">
        <w:rPr>
          <w:rFonts w:ascii="宋体" w:eastAsia="宋体" w:hAnsi="宋体" w:cs="宋体"/>
          <w:b/>
          <w:color w:val="000000" w:themeColor="text1"/>
          <w:szCs w:val="24"/>
        </w:rPr>
        <w:t xml:space="preserve">RESULTS: 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Journals in quartiles Q3 and Q4 had the highest number of publications,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with the Indian Journal of Tuberculosis leading the field, although the Journal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of Minimally Invasive Gynecology demonstrated greater impact. Indian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institutions have conducted the most research, with the All India Institute of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Medical Sciences being the most productive. Sharma Jai Bhagwan, followed by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Singh Urvashi Balbir and Dharmendra Sona, had the highest number of citations,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while J. Singh Neeta exhibited the greatest impact (18.6 citations per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publication). National collaboration (44.3%) was the most common type of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partnership, followed by institutional collaboration (42.6%), both of which also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had more citations. However, international collaboration showed the greatest </w:t>
      </w:r>
    </w:p>
    <w:p w:rsidR="00311E11" w:rsidRPr="005E27B3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5E27B3">
        <w:rPr>
          <w:rFonts w:ascii="宋体" w:eastAsia="宋体" w:hAnsi="宋体" w:cs="宋体"/>
          <w:color w:val="000000" w:themeColor="text1"/>
          <w:szCs w:val="24"/>
        </w:rPr>
        <w:t>impact (6.7 citations per publication).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5E27B3">
        <w:rPr>
          <w:rFonts w:ascii="宋体" w:eastAsia="宋体" w:hAnsi="宋体" w:cs="宋体"/>
          <w:b/>
          <w:color w:val="000000" w:themeColor="text1"/>
          <w:szCs w:val="24"/>
        </w:rPr>
        <w:t>CONCLUSION: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 Research on genital tuberculosis has remained steady and is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primarily disseminated in Q3 journals. Collaboration is predominantly national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and institutional, with India leading in research output.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Copyright: © 2026 Journal of Global Infectious Diseases.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DOI: 10.4103/jgid.jgid_173_25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PMCID: PMC13405458</w:t>
      </w:r>
    </w:p>
    <w:p w:rsidR="00311E11" w:rsidRPr="00311E11" w:rsidRDefault="005E27B3" w:rsidP="00311E11">
      <w:pPr>
        <w:rPr>
          <w:rFonts w:ascii="宋体" w:eastAsia="宋体" w:hAnsi="宋体" w:cs="宋体" w:hint="eastAsia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t>PMID: 42516731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5E27B3" w:rsidRDefault="00EF53A4" w:rsidP="00311E11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93</w:t>
      </w:r>
      <w:r w:rsidR="00311E11" w:rsidRPr="005E27B3">
        <w:rPr>
          <w:rFonts w:ascii="宋体" w:eastAsia="宋体" w:hAnsi="宋体" w:cs="宋体"/>
          <w:b/>
          <w:color w:val="FF0000"/>
          <w:szCs w:val="24"/>
        </w:rPr>
        <w:t xml:space="preserve">. J Glob Infect Dis. 2026 Apr 22;18(2):75-80. doi: 10.4103/jgid.jgid_157_25. </w:t>
      </w:r>
    </w:p>
    <w:p w:rsidR="00311E11" w:rsidRPr="005E27B3" w:rsidRDefault="00311E11" w:rsidP="00311E11">
      <w:pPr>
        <w:rPr>
          <w:rFonts w:ascii="宋体" w:eastAsia="宋体" w:hAnsi="宋体" w:cs="宋体"/>
          <w:b/>
          <w:color w:val="FF0000"/>
          <w:szCs w:val="24"/>
        </w:rPr>
      </w:pPr>
      <w:r w:rsidRPr="005E27B3">
        <w:rPr>
          <w:rFonts w:ascii="宋体" w:eastAsia="宋体" w:hAnsi="宋体" w:cs="宋体"/>
          <w:b/>
          <w:color w:val="FF0000"/>
          <w:szCs w:val="24"/>
        </w:rPr>
        <w:t>eCollection 2026 Apr-Jun.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Immunological Evidence of Latent Tuberculosis Infection among Noncontacts and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Contacts with Index Tuberculosis Patients.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Verma AK(1), Yadav RN(1), Kumar L(2), Khan NH(3), Ranjan A(2), Kumar R(2), Kumar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G(1), Panchal S(1), Dewan RK(4).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(1)Department of Microbiology, National Institute of Tuberculosis and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Respiratory Diseases, New Delhi, India.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(2)Department of Respiratory Critical Care, National Institute of Tuberculosis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and Respiratory Diseases, New Delhi, India.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(3)Faculty of Medicine, Ala-Too International University, Bishkek, Kyrgyz.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(4)Department of Thoracic Surgery and Surgical Anatomy, National Institute of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Tuberculosis and Respiratory Diseases, New Delhi, India.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5E27B3">
        <w:rPr>
          <w:rFonts w:ascii="宋体" w:eastAsia="宋体" w:hAnsi="宋体" w:cs="宋体"/>
          <w:b/>
          <w:color w:val="000000" w:themeColor="text1"/>
          <w:szCs w:val="24"/>
        </w:rPr>
        <w:t>INTRODUCTION: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 Detecting latent tuberculosis infection (LTBI) is becoming more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important in cases where the risk of disease progression is high and where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anti-tuberculosis (TB) treatment is necessary. The aim of this study is to find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out the immunological evidence of LTBI in terms of release of interferon-gamma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(IFN-γ), using interferon-gamma release assays (IGRAs) in contacts with the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index TB case and without contact individuals.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5E27B3">
        <w:rPr>
          <w:rFonts w:ascii="宋体" w:eastAsia="宋体" w:hAnsi="宋体" w:cs="宋体"/>
          <w:b/>
          <w:color w:val="000000" w:themeColor="text1"/>
          <w:szCs w:val="24"/>
        </w:rPr>
        <w:t>METHODS: T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his cross-sectional study was conducted from March 2023 to January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2024. Participants were recruited according to the inclusion and exclusion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criteria, and written informed consent was obtained. Two IGRAs, QuantiFERON-TB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Gold In-Tube (QFT-GIT)® and ichroma™ IGRA-TB assay, a lateral flow assay, were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performed on blood samples from participants to detect LTBI.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5E27B3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 Out of 175 participants, immunological evidence of LTBI was observed in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57 (32.5%) on either assay. By QFT-GIT® assay, positivity rates were observed as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28.8% (13/45), 18.4% (7/38), and 29.3% (27/92) in close contacts, casual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contacts, and noncontacts, respectively. On the other hand, 24.5% (11/45), 15.7%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(6/38), and 28.2% (26/92) positivity rates were found in the same groups through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ichroma™ IGRA-TB assays. However, these differences were statistically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nonsignificant. In addition, the level of agreement (76.6%) between these two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assays was observed, indicating good agreement (k = 0.504).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5E27B3">
        <w:rPr>
          <w:rFonts w:ascii="宋体" w:eastAsia="宋体" w:hAnsi="宋体" w:cs="宋体"/>
          <w:b/>
          <w:color w:val="000000" w:themeColor="text1"/>
          <w:szCs w:val="24"/>
        </w:rPr>
        <w:t>CONCLUSIONS: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 The study revealed that the positivity of the IGRA test between the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contact and noncontact groups is statistically not significant. The study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findings suggest that IGRA testing for LTBI could be reliable for the high-risk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group rather than general screening.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Copyright: © 2026 Journal of Global Infectious Diseases.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DOI: 10.4103/jgid.jgid_157_25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PMCID: PMC13405459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PMID: 42516725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5E27B3" w:rsidRDefault="00EF53A4" w:rsidP="00311E11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94</w:t>
      </w:r>
      <w:r w:rsidR="00311E11" w:rsidRPr="005E27B3">
        <w:rPr>
          <w:rFonts w:ascii="宋体" w:eastAsia="宋体" w:hAnsi="宋体" w:cs="宋体"/>
          <w:b/>
          <w:color w:val="FF0000"/>
          <w:szCs w:val="24"/>
        </w:rPr>
        <w:t>. Cureus. 2026 Jun 26;18(6):e111589. doi: 10.7759/c</w:t>
      </w:r>
      <w:r w:rsidR="005E27B3" w:rsidRPr="005E27B3">
        <w:rPr>
          <w:rFonts w:ascii="宋体" w:eastAsia="宋体" w:hAnsi="宋体" w:cs="宋体"/>
          <w:b/>
          <w:color w:val="FF0000"/>
          <w:szCs w:val="24"/>
        </w:rPr>
        <w:t xml:space="preserve">ureus.111589. eCollection 2026 </w:t>
      </w:r>
      <w:r w:rsidR="00311E11" w:rsidRPr="005E27B3">
        <w:rPr>
          <w:rFonts w:ascii="宋体" w:eastAsia="宋体" w:hAnsi="宋体" w:cs="宋体"/>
          <w:b/>
          <w:color w:val="FF0000"/>
          <w:szCs w:val="24"/>
        </w:rPr>
        <w:t>Jun.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Disseminated Tuberculosis With Cutaneous, Cerebrovascular, and Thromboembolic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Manifestations in a Young Immunocompetent Male Patient: A Case Report.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Usman M(1)(2), Murtaza L(3), Paramasivam K(1), Latchman K(1), Dhaliwal K(1).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(1)Internal Medicine, Mercy Hospital Fort Smith, Fort Smith, USA.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(2)Internal Medicine, Arkansas College of Osteopathic Medicine, Fort Smith, USA.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(3)Internal Medicine, King Edward Medical University, Lahore, PAK.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Tuberculosis (TB) remains a leading infection because of morbidity and mortality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worldwide, with extrapulmonary manifestations occurring less commonly among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human immunodeficiency virus (HIV) seronegative individuals. We present the case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of a 20-year-old Marshallese male patient with a medical history of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hypertension, who presented with dysphagia, weight loss, and altered mental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status after a fall and was found to have disseminated TB infection involving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the lungs, pleura, and skin of the left auricular region. His hospital course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was complicated by a large left middle cerebral artery territory ischemic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infarct with mild hemorrhagic transformation and a left lower lobe pulmonary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embolism. Of note, the patient was HIV seronegative, and his hypercoagulable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workup was also unremarkable, thus suggesting a TB-associated hypercoagulable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state as the likely mechanism for his thromboembolic complications. Although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markedly elevated pleural fluid adenosine deaminase levels and exudative pleural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effusion provided strong corroborating evidence for tuberculous pleuritis,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negative Mycobacterium tuberculosis complex polymerase chain reaction (PCR) on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both bronchoalveolar lavage and serum added to the diagnostic complexity. This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case highlights the importance of maintaining a high index of clinical suspicion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for disseminated TB and its thromboembolic complications in young patients from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high-TB-burden regions, even in the absence of immunosuppression.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Copyright © 2026, Usman et al.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DOI: 10.7759/cureus.111589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PMCID: PMC13402849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PMID: 42516447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5E27B3" w:rsidRDefault="00EF53A4" w:rsidP="00311E11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95</w:t>
      </w:r>
      <w:r w:rsidR="00311E11" w:rsidRPr="005E27B3">
        <w:rPr>
          <w:rFonts w:ascii="宋体" w:eastAsia="宋体" w:hAnsi="宋体" w:cs="宋体"/>
          <w:b/>
          <w:color w:val="FF0000"/>
          <w:szCs w:val="24"/>
        </w:rPr>
        <w:t>. Curr Cardiol Rev. 2026 Jul 22. doi: 10.2174/011573</w:t>
      </w:r>
      <w:r w:rsidR="005E27B3" w:rsidRPr="005E27B3">
        <w:rPr>
          <w:rFonts w:ascii="宋体" w:eastAsia="宋体" w:hAnsi="宋体" w:cs="宋体"/>
          <w:b/>
          <w:color w:val="FF0000"/>
          <w:szCs w:val="24"/>
        </w:rPr>
        <w:t xml:space="preserve">403X453535260718061445. Online </w:t>
      </w:r>
      <w:r w:rsidR="00311E11" w:rsidRPr="005E27B3">
        <w:rPr>
          <w:rFonts w:ascii="宋体" w:eastAsia="宋体" w:hAnsi="宋体" w:cs="宋体"/>
          <w:b/>
          <w:color w:val="FF0000"/>
          <w:szCs w:val="24"/>
        </w:rPr>
        <w:t>ahead of print.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Cardiovascular Mortality among Tuberculosis Patients.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Kingrani B(1), Khan AH(1), Harun SN(1), Ali IAH(2), Ishaqi AA(3), Khan I(4).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(1)School of Pharmaceutical Sciences, Universiti Sains Malaysia, 11800 USM,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Penang, Gelugor, Malaysia.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(2)Respiratory Clinic, Penang General Hospital, Ministry of Health Malaysia,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Penang Island, George Town, Malaysia.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(3)Department of Clinical Pharmacy, College of Pharmacy, King Khalid University,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Muhayil Asir, Abha, Saudi Arabia.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(4)Department of Rehabilitation and Disability Studies, Langston University,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7401, N. Kelley Ave. Oklahoma City, OK, 73111, Langston, United States of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America.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5E27B3">
        <w:rPr>
          <w:rFonts w:ascii="宋体" w:eastAsia="宋体" w:hAnsi="宋体" w:cs="宋体"/>
          <w:b/>
          <w:color w:val="000000" w:themeColor="text1"/>
          <w:szCs w:val="24"/>
        </w:rPr>
        <w:t xml:space="preserve">INTRODUCTION: 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Tuberculosis and cardiovascular disease (CVD) are significant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health concerns in developing countries. Evidence indicates a link between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tuberculosis infection and CVD development. The immune response to Mycobacterium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tuberculosis, involving monocytes, macrophages, lymphocytes, and cytokines,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promotes atheroma formation and atherosclerosis, leading to cardiovascular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complications. This study aimed to assess mortality patterns among tuberculosis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patients due to CVD, describe the proportion and types of CVD-related deaths in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 Malaysian tertiary care facility, and examine associated demographic and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clinical characteristics.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5E27B3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 This retrospective cohort study used an observational analytic design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and descriptive mortality analysis at Penang General Hospital, Malaysia. Medical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records of adult tuberculosis (TB) patients who died between January 2015 and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December 2022 were reviewed. Patients with pre-existing cardiovascular disease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were excluded. Causes of death were determined from clinical records and death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certificates, with cardiovascular deaths classified based on clinical,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laboratory, and imaging findings. Descriptive statistics were used, and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exploratory unadjusted associations were assessed using chi-square or Fisher's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exact tests as appropriate.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5E27B3">
        <w:rPr>
          <w:rFonts w:ascii="宋体" w:eastAsia="宋体" w:hAnsi="宋体" w:cs="宋体"/>
          <w:b/>
          <w:color w:val="000000" w:themeColor="text1"/>
          <w:szCs w:val="24"/>
        </w:rPr>
        <w:t xml:space="preserve">RESULTS: 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Of 657 TB patient deaths analyzed, 82 (12.5%) were attributed to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cardiovascular causes. Acute coronary syndrome was the most frequent (8.37%),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followed by acute pulmonary embolism (1.37%). Exploratory analyses suggested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associations between cardiovascular deaths and clinical factors such as anemia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and drug resistance.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5E27B3">
        <w:rPr>
          <w:rFonts w:ascii="宋体" w:eastAsia="宋体" w:hAnsi="宋体" w:cs="宋体"/>
          <w:b/>
          <w:color w:val="000000" w:themeColor="text1"/>
          <w:szCs w:val="24"/>
        </w:rPr>
        <w:t>DISCUSSION: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 These findings align with global evidence that cardiovascular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diseases are a leading cause of death among tuberculosis patients. Prior studies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support the elevated risk of CVDrelated mortality in this population. This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research provides detailed data on specific cardiovascular disorders,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particularly acute coronary syndrome as the primary cause of death. Intravenous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drug use showed a strong correlation with CVD mortality (p &lt; 0.001), while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anemia was a notable comorbidity despite its low prevalence. The lack of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significant associations with diabetes and hypertension suggests that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inflammatory or infectious processes may play a greater role in CVD development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among TB patients. Regional differences in CVD mortality rates highlight the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influence of sociodemographic factors and healthcare resources. The study's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exclusion of patients with pre-existing CVD allows for a focused assessment of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TB's impact on cardiovascular outcomes.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5E27B3">
        <w:rPr>
          <w:rFonts w:ascii="宋体" w:eastAsia="宋体" w:hAnsi="宋体" w:cs="宋体"/>
          <w:b/>
          <w:color w:val="000000" w:themeColor="text1"/>
          <w:szCs w:val="24"/>
        </w:rPr>
        <w:t xml:space="preserve">CONCLUSION: 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In this tertiary-care cohort, cardiovascular disease represented a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significant proportion of deaths among tuberculosis patients, with acute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coronary syndrome as the leading subtype. These results reinforce the need for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cardiovascular risk awareness in TB care and highlight the importance of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prospective studies to clarify risk factors and causality.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Copyright© Bentham Science Publishers; For any queries, please email at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epub@benthamscience.net.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DOI: 10.2174/011573403X453535260718061445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PMID: 42515904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DC3F5D" w:rsidRDefault="00EF53A4" w:rsidP="00311E11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9</w:t>
      </w:r>
      <w:r w:rsidR="00311E11" w:rsidRPr="00DC3F5D">
        <w:rPr>
          <w:rFonts w:ascii="宋体" w:eastAsia="宋体" w:hAnsi="宋体" w:cs="宋体"/>
          <w:b/>
          <w:color w:val="FF0000"/>
          <w:szCs w:val="24"/>
        </w:rPr>
        <w:t>6. Plants (Basel). 2026 Jul 22;15(14):2233. doi: 10.3390/plants15142233.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Phytochemical Analysis and Bioactivities of Dombeya rotundifolia and Lippia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javanica.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Mashilo ML(1), Matotoka MM(1), Mazimba O(2), Masoko P(1).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(1)Faculty of Science and Agriculture, Department of Biochemistry, Microbiology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and Biotechnology, University of Limpopo, Private Bag X1106, Sovenga 0727, South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Africa.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(2)Chemical and Forensic Sciences, Botswana International University of Science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and Technology, Private Bag 16, Palapye 10017, Botswana.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Tuberculosis (TB) remains a major global health challenge, compounded by rising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drug resistance. Traditional medicinal plants used for TB-related symptoms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represent a valuable yet underexplored source of potential antimycobacterial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agents. In this study, the phytochemical content and biological activities of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Dombeya rotundifolia and Lippia javanica were evaluated, and antimycobacterial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compounds were isolated through bioassay-guided fractionation. Plant leaves were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collected, extracted with solvents of varying polarity, and screened for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phenolics and flavonoids. Antioxidant activity was assessed using DPPH and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ferric reducing power assays, antimycobacterial activity was tested against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Mycobacterium smegmatis, anti-inflammatory activity was determined by the egg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albumin denaturation method, and cytotoxicity was evaluated in THP-1 cells using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the MTT assay. Extraction yields varied, with water extracts of L. javanica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showing the highest yield and hexane extracts of D. rotundifolia the lowest.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Both plants contained bioactive phytochemicals with measurable antioxidant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activity, while acetone and dichloromethane extracts of D. rotundifolia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displayed the strongest antimycobacterial activity with MIC values of 0.16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mg/mL. Cytotoxicity assays indicated moderate toxicity at higher extract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concentrations. Bioassay-guided isolation led to the identification of two fatty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acid fractions with tentative characterization, which showed notable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antimycobacterial activity (MIC 0.25 mg/mL). These findings provide preliminary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support for the ethnomedicinal use of D. rotundifolia in respiratory conditions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traditionally associated with tuberculosis and suggest a potential contribution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of its fatty acids to its observed antimycobacterial activity.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DOI: 10.3390/plants15142233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PMCID: PMC13415330</w:t>
      </w:r>
    </w:p>
    <w:p w:rsidR="00311E11" w:rsidRPr="00311E11" w:rsidRDefault="00DC3F5D" w:rsidP="00311E11">
      <w:pPr>
        <w:rPr>
          <w:rFonts w:ascii="宋体" w:eastAsia="宋体" w:hAnsi="宋体" w:cs="宋体" w:hint="eastAsia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t>PMID: 42514599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DC3F5D" w:rsidRDefault="00EF53A4" w:rsidP="00311E11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9</w:t>
      </w:r>
      <w:r w:rsidR="00311E11" w:rsidRPr="00DC3F5D">
        <w:rPr>
          <w:rFonts w:ascii="宋体" w:eastAsia="宋体" w:hAnsi="宋体" w:cs="宋体"/>
          <w:b/>
          <w:color w:val="FF0000"/>
          <w:szCs w:val="24"/>
        </w:rPr>
        <w:t>7. Microorganisms. 2026 Jul 22;14(7):1596. doi: 10.3390/microorganisms14071596.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Diagnostic Discordance During MDR-TB Treatment: Retrospective Identification of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Mycobacterium avium Complex-Associated Nontuberculous Mycobacterium by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Whole-Genome Sequencing.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Rukasha I(1)(2), Kaapu KG(1), Nemaguvhuni NF(3), Wells-Hunter F(2), Sharma A(2),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Phelan JE(4), Kolobe MJ(5), Lekalakala-Mokaba MR(1)(5), Warren RM(2), Costa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Conceição E(2)(6).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(1)Division of Medical Microbiology, Department of Pathology, School of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Medicine, University of Limpopo, Polokwane 0727, South Africa.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(2)South African Medical Research Council Centre for Tuberculosis Research,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Division of Molecular Biology and Human Genetics, Faculty of Medicine and Health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Sciences, Stellenbosch University, Cape Town 7505, South Africa.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(3)Multidrug Resistant Tuberculosis Unit, Tshilidzini Hospital, Limpopo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Department of Health, Limpopo 0950, South Africa.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(4)Department of Infection Biology, Faculty of Infectious and Tropical Diseases,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London School of Hygiene and Tropical Medicine, Keppel Street, London WC1E 7HT,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UK.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(5)Department of Microbiology, National Health Laboratory Service, Polokwane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0699, South Africa.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(6)Centre for Epidemic Response and Innovation (CERI), School for Data Science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and Computational Thinking, Stellenbosch University, Cape Town 7505, South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Africa.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Nontuberculous mycobacteria (NTM) pose significant diagnostic challenges in high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tuberculosis (TB)-burden settings, particularly when routine molecular assays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suggest multidrug-resistant TB (MDR-TB). Current diagnostic algorithms in high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TB-burden settings are primarily designed to detect members of the Mycobacterium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tuberculosiscomplex (MTBC) and may inadequately distinguish NTM when discordant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laboratory findings are encountered. The value of this case lies not in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demonstrating that whole-genome sequencing (WGS) should guide real-time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treatment, but in illustrating how diagnostic uncertainty can arise when routine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MTBC-focused tests fail to identify NTM and how genomic surveillance can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contribute to species-level characterization in such settings. We report a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complex case which was initially diagnosed as rifampicin- and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isoniazid-resistant MTBC and subsequently managed according to programmatic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MDR-TB guidelines. Persistent acid-fast bacilli positivity in the presence of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negative MTBC antigen testing during follow-up raised suspicion of NTM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involvement. Whole-genome sequencing (WGS), performed retrospectively on a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follow-up isolate, identified an NTM belonging to the Mycobacterium avium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complex (MAC) which was phylogenetically closest to genomes provisionally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designated Mycobacterium europaeum_A and distinct from Mycobacterium europaeum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sensu stricto, a member of the Mycobacterium simiae complex. The identification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of a MAC-associated NTM provided an explanation for the observed diagnostic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discordance but could not determine whether the organism represented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colonization, sequential infection, or concurrent infection. Although WGS did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not inform clinical management, it provided high-resolution species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identification and highlighted important limitations of MTBC-focused diagnostic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workflows when discordant microbiological findings are encountered. This case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underscores the need for the targeted investigation of NTM in patients with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acid-fast bacilli-positive cultures and negative MTBC antigen testing and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supports the use of genomic surveillance to improve species-level identification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and understanding of NTM epidemiology in high TB-burden settings such as Limpopo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Province, South Africa.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DOI: 10.3390/microorganisms14071596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PMCID: PMC13414386</w:t>
      </w:r>
    </w:p>
    <w:p w:rsidR="00311E11" w:rsidRPr="00311E11" w:rsidRDefault="00DC3F5D" w:rsidP="00311E11">
      <w:pPr>
        <w:rPr>
          <w:rFonts w:ascii="宋体" w:eastAsia="宋体" w:hAnsi="宋体" w:cs="宋体" w:hint="eastAsia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t>PMID: 42514100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DC3F5D" w:rsidRDefault="00EF53A4" w:rsidP="00311E11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9</w:t>
      </w:r>
      <w:r w:rsidR="00311E11" w:rsidRPr="00DC3F5D">
        <w:rPr>
          <w:rFonts w:ascii="宋体" w:eastAsia="宋体" w:hAnsi="宋体" w:cs="宋体"/>
          <w:b/>
          <w:color w:val="FF0000"/>
          <w:szCs w:val="24"/>
        </w:rPr>
        <w:t>8. Microorganisms. 2026 Jul 7;14(7):1481. doi: 10.3390/microorganisms14071481.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Detection of Mycobacterium tuberculosis Complex and Differentiation of Five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Common Nontuberculous Mycobacteria Directly from Clinical Specimens Using a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Multiplex PCR Assay.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Kim KJ(1), Yun SG(1), Chang Y(2), Nam MH(1), Cho Y(1).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(1)Department of Laboratory Medicine, Korea University Anam Hospital, Korea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University College of Medicine, Seoul 02841, Republic of Korea.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(2)R&amp;D Innovation Center, Seoul Clinical Laboratories, 13 Heungdeok 1-ro,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Giheung-Gu, Yongin-si 16954, Gyeonggi-do, Republic of Korea.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Rapid detection and differentiation of Mycobacterium tuberculosis complex (MTBC)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and nontuberculous mycobacteria (NTM) are crucial for appropriate treatment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selection. The NeoPlex™ TB/NTM Detection Kit is a PCR assay that simultaneously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detects MTBC and NTM and identifies five clinically important NTM species (M.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intracellulare, M. avium, M. kansasii, M. abscessus subsp. abscessus, and M.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abscessus subsp. massiliense). We evaluated its comparative analytical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performance using 200 stored nucleic acid extracts from respiratory and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non-respiratory MTBC- or NTM-positive clinical specimens after excluding 27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specimens without interpretable species-level results. Results were compared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with those of a line probe assay (LPA), which formed the reference test.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Concordance with the LPA was 93.0%, including 96.9% for MTBC and 92.3% for NTM.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The NeoPlex assay correctly differentiated all MTBC- and NTM-positive specimens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included in the study cohort. For species-level identification, sensitivity and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specificity were 98.9% and 100% for M. intracellulare, 97.6% and 100% for M.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avium, 82.4% and 100% for M. kansasii, 79.0% and 100% for M. abscessus subsp.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abscessus, and 100% and 100% for M. abscessus subsp. massiliense, respectively.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These findings suggest that this multiplex PCR assay enables rapid, accurate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detection and differentiation of MTBC and NTM species directly from clinical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samples.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DOI: 10.3390/microorganisms14071481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PMCID: PMC13414092</w:t>
      </w:r>
    </w:p>
    <w:p w:rsidR="00311E11" w:rsidRPr="00311E11" w:rsidRDefault="00DC3F5D" w:rsidP="00311E11">
      <w:pPr>
        <w:rPr>
          <w:rFonts w:ascii="宋体" w:eastAsia="宋体" w:hAnsi="宋体" w:cs="宋体" w:hint="eastAsia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t>PMID: 42513987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DC3F5D" w:rsidRDefault="00EF53A4" w:rsidP="00311E11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99</w:t>
      </w:r>
      <w:r w:rsidR="00311E11" w:rsidRPr="00DC3F5D">
        <w:rPr>
          <w:rFonts w:ascii="宋体" w:eastAsia="宋体" w:hAnsi="宋体" w:cs="宋体"/>
          <w:b/>
          <w:color w:val="FF0000"/>
          <w:szCs w:val="24"/>
        </w:rPr>
        <w:t>. Healthcare (Basel). 2026 Jul 22;14(14):2221. doi: 10.3390/healthcare14142221.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QuantiFERON-TB Gold Plus Conversion Among Healthcare Workers: A Retrospective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Cohort Study on Occupational and Metabolic Factors.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Barnabei S(1), Somma G(1), Andreadi S(1), Magrini A(1), Santacroce E(2), Ferrari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C(1)(3), Ippoliti L(1)(3)(4), Coppeta L(1).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(1)Department of Biomedicine and Prevention, University of Rome Tor Vergata,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00133 Rome, Italy.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(2)Workplace Prevention and Safety Service, Local Sanitary Unit Roma 5, 00012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Guidonia Montecelio, Italy.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(3)PhD Program in Social, Occupational and Medico-Legal Sciences, Department of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Biomedicine and Prevention, University of Rome Tor Vergata, 00133 Rome, Italy.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(4)Faculty of Medicine, Saint Camillus International University of Health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Sciences, 00131 Rome, Italy.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DC3F5D">
        <w:rPr>
          <w:rFonts w:ascii="宋体" w:eastAsia="宋体" w:hAnsi="宋体" w:cs="宋体"/>
          <w:b/>
          <w:color w:val="000000" w:themeColor="text1"/>
          <w:szCs w:val="24"/>
        </w:rPr>
        <w:t xml:space="preserve">Background: 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Healthcare workers (HCWs) remain at risk of occupational exposure to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Mycobacterium tuberculosis. Although workplace-related risk factors have been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extensively investigated, the contribution of host metabolic factors to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tuberculosis infection (TBI) susceptibility remains poorly understood. This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study evaluated QuantiFERON-TB Gold Plus (QFT-Plus) conversion and its </w:t>
      </w:r>
    </w:p>
    <w:p w:rsidR="00311E11" w:rsidRPr="00DC3F5D" w:rsidRDefault="00311E11" w:rsidP="00311E11">
      <w:pPr>
        <w:rPr>
          <w:rFonts w:ascii="宋体" w:eastAsia="宋体" w:hAnsi="宋体" w:cs="宋体"/>
          <w:b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association with demographic, occupational, and metabolic risk factors</w:t>
      </w:r>
      <w:r w:rsidRPr="00DC3F5D">
        <w:rPr>
          <w:rFonts w:ascii="宋体" w:eastAsia="宋体" w:hAnsi="宋体" w:cs="宋体"/>
          <w:b/>
          <w:color w:val="000000" w:themeColor="text1"/>
          <w:szCs w:val="24"/>
        </w:rPr>
        <w:t xml:space="preserve">. Methods: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 retrospective cohort study was conducted among 3309 HCWs undergoing annual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routine occupational health surveillance at Policlinico Tor Vergata in Rome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(Italy) from 2017 to 2025. Data included age, sex, job category, night-shift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work, departmental risk level, and biochemical parameters (lipid profile, blood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glucose, and vitamin D levels). Associations with QFT-Plus conversion were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assessed using univariate analyses, binary logistic regression, and multivariate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Cox regression models.</w:t>
      </w:r>
      <w:r w:rsidRPr="00DC3F5D">
        <w:rPr>
          <w:rFonts w:ascii="宋体" w:eastAsia="宋体" w:hAnsi="宋体" w:cs="宋体"/>
          <w:b/>
          <w:color w:val="000000" w:themeColor="text1"/>
          <w:szCs w:val="24"/>
        </w:rPr>
        <w:t xml:space="preserve"> Results: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 During follow-up, 87 participants (2.6%) </w:t>
      </w:r>
    </w:p>
    <w:p w:rsidR="00311E11" w:rsidRPr="00311E11" w:rsidRDefault="00311E11" w:rsidP="00311E11">
      <w:pPr>
        <w:rPr>
          <w:rFonts w:ascii="宋体" w:eastAsia="宋体" w:hAnsi="宋体" w:cs="宋体" w:hint="eastAsia"/>
          <w:color w:val="000000" w:themeColor="text1"/>
          <w:szCs w:val="24"/>
        </w:rPr>
      </w:pPr>
      <w:r w:rsidRPr="00311E11">
        <w:rPr>
          <w:rFonts w:ascii="宋体" w:eastAsia="宋体" w:hAnsi="宋体" w:cs="宋体" w:hint="eastAsia"/>
          <w:color w:val="000000" w:themeColor="text1"/>
          <w:szCs w:val="24"/>
        </w:rPr>
        <w:t xml:space="preserve">experienced QFT-Plus conversion. In univariate analysis, age ≥ 40 years (3.98%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vs. 1.50%; p &lt; 0.001) and hypercholesterolemia (3.8% vs. 2.1%; p = 0.004) were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significantly associated with conversion. However, neither variable remained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statistically significant in multivariate analyses (age: p = 0.734;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hypercholesterolemia: p = 0.834). Occupational factors, including job category,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night-shift work, and assignment to high-risk departments, were not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significantly associated with QFT-Plus conversion. Likewise, hyperglycemia and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vitamin D deficiency showed no significant associations.</w:t>
      </w:r>
      <w:r w:rsidRPr="00DC3F5D">
        <w:rPr>
          <w:rFonts w:ascii="宋体" w:eastAsia="宋体" w:hAnsi="宋体" w:cs="宋体"/>
          <w:b/>
          <w:color w:val="000000" w:themeColor="text1"/>
          <w:szCs w:val="24"/>
        </w:rPr>
        <w:t xml:space="preserve"> Conclusions: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 QFT-Plus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conversion incidence was low, supporting the effectiveness of current hospital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infection control measures in this low-incidence setting. No demographic,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occupational, or metabolic factor emerged as an independent predictor of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conversion. These findings should be interpreted considering the limited number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of conversion events and the multifactorial nature of TBI susceptibility.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DOI: 10.3390/healthcare14142221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PMCID: PMC13411797</w:t>
      </w:r>
    </w:p>
    <w:p w:rsidR="00311E11" w:rsidRPr="00311E11" w:rsidRDefault="00DC3F5D" w:rsidP="00311E11">
      <w:pPr>
        <w:rPr>
          <w:rFonts w:ascii="宋体" w:eastAsia="宋体" w:hAnsi="宋体" w:cs="宋体" w:hint="eastAsia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t>PMID: 42512737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DC3F5D" w:rsidRDefault="00EF53A4" w:rsidP="00311E11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100</w:t>
      </w:r>
      <w:r w:rsidR="00311E11" w:rsidRPr="00DC3F5D">
        <w:rPr>
          <w:rFonts w:ascii="宋体" w:eastAsia="宋体" w:hAnsi="宋体" w:cs="宋体"/>
          <w:b/>
          <w:color w:val="FF0000"/>
          <w:szCs w:val="24"/>
        </w:rPr>
        <w:t xml:space="preserve">. Int J Environ Res Public Health. 2026 Jul 18;23(7):925. doi: </w:t>
      </w:r>
    </w:p>
    <w:p w:rsidR="00311E11" w:rsidRPr="00DC3F5D" w:rsidRDefault="00311E11" w:rsidP="00311E11">
      <w:pPr>
        <w:rPr>
          <w:rFonts w:ascii="宋体" w:eastAsia="宋体" w:hAnsi="宋体" w:cs="宋体"/>
          <w:b/>
          <w:color w:val="FF0000"/>
          <w:szCs w:val="24"/>
        </w:rPr>
      </w:pPr>
      <w:r w:rsidRPr="00DC3F5D">
        <w:rPr>
          <w:rFonts w:ascii="宋体" w:eastAsia="宋体" w:hAnsi="宋体" w:cs="宋体"/>
          <w:b/>
          <w:color w:val="FF0000"/>
          <w:szCs w:val="24"/>
        </w:rPr>
        <w:t>10.3390/ijerph23070925.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The Provision of Care for Patients with Tuberculosis and Diabetes Mellitus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Multi-Morbidity in Addis Ababa, Ethiopia: An Analysis of Patients' Perspectives.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Salato ST(1), Setswe KG(2)(3).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(1)Ethiopia Regional Learning Center, University of South Africa, Addis Ababa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1165, Ethiopia.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(2)Department of Health Studies, University of South Africa, Pretoria 0002,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South Africa.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(3)Bafokeng Health &amp; Demographic Surveillance (BAMMISHO) Node, The Aurum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Institute, Johannesburg 2001, South Africa.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Providing care for effective management of tuberculosis (TB) and diabetes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mellitus (DM) is a challenge, particularly in resource-limited settings. This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study assessed factors affecting the provision of care for patients with TB-DM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in Addis Ababa, Ethiopia, using the six elements of the SELFIE-Sustainable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intEgrated chronic care modeLs for FinancIng and performancE framework. A health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facility-based cross-sectional study was conducted with randomly selected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patients with TB-DM multi-morbidity. Data were analysed using the Statistical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Package for Social Sciences (SPSS) version 27. Logistic regression was employed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to identify factors influencing TB-DM care provision. A total of 357 respondents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participated, with a response rate of 96.5%. The mean age of the respondents was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49.8 years. Only 13.4% of patients received good TB-DM services. Key factors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influencing TB-DM care were (a) insufficient counseling on the proper use of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medication (AOR = 2.6, CI: 1.1-6.6, p = 0.035) and the risk of TB for DM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patients (AOR = 10, CI: 3.7-27, p &lt; 0.001), (b) leadership and governance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including supportive leadership for TB-DM care (77.1%), organized TB-DM care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(62.5%), the presence of a care policy (77.1%), and continuity of care (58.3%),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(c) workforce factors such as the presence of a multidisciplinary team (60.4%),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TB-DM service coordinator (58.3%), HCWs with adequate knowledge (87.5%), (d)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costs of health services are fair (75%) and (e) lack of technologies such as EMR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(88%) and lack of medical products to treat TB-DM (64.7%) delays care for TB-DM.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Most TB-DM patients in Addis Ababa had limited access to care. The continuous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monitoring of services can facilitate the identification of care gaps, thereby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guiding the implementation of improved interventions.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DOI: 10.3390/ijerph23070925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PMCID: PMC13409822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PMID: 42512229 [Indexed for MEDLINE]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DC3F5D" w:rsidRDefault="00EF53A4" w:rsidP="00311E11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101</w:t>
      </w:r>
      <w:r w:rsidR="00311E11" w:rsidRPr="00DC3F5D">
        <w:rPr>
          <w:rFonts w:ascii="宋体" w:eastAsia="宋体" w:hAnsi="宋体" w:cs="宋体"/>
          <w:b/>
          <w:color w:val="FF0000"/>
          <w:szCs w:val="24"/>
        </w:rPr>
        <w:t>. Biology (Basel). 2026 Jul 16;15(14):1161. doi: 10.3390/biology15141161.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Iron Supplementation and Omega-3 Fatty Acids in Tuberculosis: Friend or Foe?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Wróblewski M(1), Wróblewska J(1), D</w:t>
      </w:r>
      <w:r w:rsidRPr="00311E11">
        <w:rPr>
          <w:rFonts w:ascii="Cambria" w:eastAsia="宋体" w:hAnsi="Cambria" w:cs="Cambria"/>
          <w:color w:val="000000" w:themeColor="text1"/>
          <w:szCs w:val="24"/>
        </w:rPr>
        <w:t>ł</w:t>
      </w:r>
      <w:r w:rsidRPr="00311E11">
        <w:rPr>
          <w:rFonts w:ascii="宋体" w:eastAsia="宋体" w:hAnsi="宋体" w:cs="宋体"/>
          <w:color w:val="000000" w:themeColor="text1"/>
          <w:szCs w:val="24"/>
        </w:rPr>
        <w:t>ugosz A(2), Mila-Kierzenkowska C(1).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(1)Department of Medical Biology and Biochemistry, Faculty of Medicine, Ludwik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Rydygier Collegium Medicum in Bydgoszcz, Nicolaus Copernicus University in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Toruń, 24 Kar</w:t>
      </w:r>
      <w:r w:rsidRPr="00311E11">
        <w:rPr>
          <w:rFonts w:ascii="Cambria" w:eastAsia="宋体" w:hAnsi="Cambria" w:cs="Cambria"/>
          <w:color w:val="000000" w:themeColor="text1"/>
          <w:szCs w:val="24"/>
        </w:rPr>
        <w:t>ł</w:t>
      </w:r>
      <w:r w:rsidRPr="00311E11">
        <w:rPr>
          <w:rFonts w:ascii="宋体" w:eastAsia="宋体" w:hAnsi="宋体" w:cs="宋体"/>
          <w:color w:val="000000" w:themeColor="text1"/>
          <w:szCs w:val="24"/>
        </w:rPr>
        <w:t>owicza St., 85-092 Bydgoszcz, Poland.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(2)Department of Bromatology and Pharmacology, Faculty of Chemical Technology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and Engineering, Bydgoszcz University of Science and Technology, 3 Seminaryjna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St., 85-326 Bydgoszcz, Poland.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Iron supplementation in patients with tuberculosis remains a controversial issue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due to the complex role of iron in the host immune response and in the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pathogenesis of Mycobacterium tuberculosis infection. Although supplementation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may be beneficial for some patients with persistent iron deficiency, the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available evidence does not support its routine use. The efficacy and safety of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such an intervention appear to depend, among other factors, on the activity of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the inflammatory process, the severity of iron metabolism disturbances, and the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timing of supplementation initiation. Current evidence highlights the need for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an individualized assessment of iron status and for further research to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establish clear clinical recommendations. At the same time, growing interest has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been directed toward the role of long-chain omega-3 polyunsaturated fatty acids,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particularly eicosapentaenoic acid (EPA) and docosahexaenoic acid (DHA), as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potential modulators of immune and inflammatory responses in tuberculosis. EPA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and DHA may influence immune cell function, cytokine production, and the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formation of lipid mediators involved in the resolution of inflammation.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Experimental evidence suggests that omega-3 fatty acids may reduce the severity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of inflammation and infection-associated anemia; however, their effectiveness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may depend on baseline fatty acid status, the stage of disease, and interactions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with other nutrients, including iron. Human clinical evidence remains very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limited and is currently based mainly on one small intervention study,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therefore, clinical claims regarding omega-3 fatty acids supplementation should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be interpreted cautiously and should not be understood as a recommendation for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routine use. The aim of this review is to discuss the significance of iron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metabolism and omega-3 fatty acids in tuberculosis, with particular emphasis on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their roles in the regulation of inflammation, immune responses, anemia, and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potential nutritional support. Current evidence underscores the need for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individualized nutritional interventions and further clinical research to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determine the safety, efficacy, and optimal timing of iron and omega-3 fatty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acids supplementation in patients with tuberculosis.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DOI: 10.3390/biology15141161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PMCID: PMC13404182</w:t>
      </w:r>
    </w:p>
    <w:p w:rsidR="00311E11" w:rsidRPr="00311E11" w:rsidRDefault="00DC3F5D" w:rsidP="00311E11">
      <w:pPr>
        <w:rPr>
          <w:rFonts w:ascii="宋体" w:eastAsia="宋体" w:hAnsi="宋体" w:cs="宋体" w:hint="eastAsia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t>PMID: 42510707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DC3F5D" w:rsidRDefault="00EF53A4" w:rsidP="00311E11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102</w:t>
      </w:r>
      <w:r w:rsidR="00311E11" w:rsidRPr="00DC3F5D">
        <w:rPr>
          <w:rFonts w:ascii="宋体" w:eastAsia="宋体" w:hAnsi="宋体" w:cs="宋体"/>
          <w:b/>
          <w:color w:val="FF0000"/>
          <w:szCs w:val="24"/>
        </w:rPr>
        <w:t>. Diagnostics (Basel). 2026 Jul 17;16(14):2243. doi: 10.3390/diagnostics16142243.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Differentiating Tuberculous and Pyogenic Spondylodiscitis: Part I-Epidemiology,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Clinical Features, Laboratory Markers, and Tissue-Based Diagnosis.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Marian A(1)(2), Van</w:t>
      </w:r>
      <w:r w:rsidRPr="00311E11">
        <w:rPr>
          <w:rFonts w:ascii="Cambria" w:eastAsia="宋体" w:hAnsi="Cambria" w:cs="Cambria"/>
          <w:color w:val="000000" w:themeColor="text1"/>
          <w:szCs w:val="24"/>
        </w:rPr>
        <w:t>ț</w:t>
      </w:r>
      <w:r w:rsidRPr="00311E11">
        <w:rPr>
          <w:rFonts w:ascii="宋体" w:eastAsia="宋体" w:hAnsi="宋体" w:cs="宋体"/>
          <w:color w:val="000000" w:themeColor="text1"/>
          <w:szCs w:val="24"/>
        </w:rPr>
        <w:t>a OM(2)(3), Danci V(4), Rotaru L(5), T</w:t>
      </w:r>
      <w:r w:rsidRPr="00311E11">
        <w:rPr>
          <w:rFonts w:ascii="Cambria" w:eastAsia="宋体" w:hAnsi="Cambria" w:cs="Cambria"/>
          <w:color w:val="000000" w:themeColor="text1"/>
          <w:szCs w:val="24"/>
        </w:rPr>
        <w:t>ă</w:t>
      </w:r>
      <w:r w:rsidRPr="00311E11">
        <w:rPr>
          <w:rFonts w:ascii="宋体" w:eastAsia="宋体" w:hAnsi="宋体" w:cs="宋体"/>
          <w:color w:val="000000" w:themeColor="text1"/>
          <w:szCs w:val="24"/>
        </w:rPr>
        <w:t>ma</w:t>
      </w:r>
      <w:r w:rsidRPr="00311E11">
        <w:rPr>
          <w:rFonts w:ascii="Cambria" w:eastAsia="宋体" w:hAnsi="Cambria" w:cs="Cambria"/>
          <w:color w:val="000000" w:themeColor="text1"/>
          <w:szCs w:val="24"/>
        </w:rPr>
        <w:t>ș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 MM(1)(2), Ungur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R(6), Rednic S(1)(2), Pamfil C(1)(2).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(1)Department of Rheumatology, "Iuliu Hatieganu" University of Medicine and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Pharmacy, 400012 Cluj-Napoca, Romania.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(2)Emergency Clinical County Hospital, 400012 Cluj-Napoca, Romania.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(3)Department of Neurology, "Iuliu Hatieganu" University of Medicine and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Pharmacy, 400012 Cluj-Napoca, Romania.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(4)Department of Medical Genetics, "Iuliu Hatieganu" University of Medicine and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Pharmacy, 400012 Cluj-Napoca, Romania.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(5)Nicolae Testemi</w:t>
      </w:r>
      <w:r w:rsidRPr="00311E11">
        <w:rPr>
          <w:rFonts w:ascii="Cambria" w:eastAsia="宋体" w:hAnsi="Cambria" w:cs="Cambria"/>
          <w:color w:val="000000" w:themeColor="text1"/>
          <w:szCs w:val="24"/>
        </w:rPr>
        <w:t>ţ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anu Internal Medicine Department, State University of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Medicine and Pharmacy, 2004 Chi</w:t>
      </w:r>
      <w:r w:rsidRPr="00311E11">
        <w:rPr>
          <w:rFonts w:ascii="Cambria" w:eastAsia="宋体" w:hAnsi="Cambria" w:cs="Cambria"/>
          <w:color w:val="000000" w:themeColor="text1"/>
          <w:szCs w:val="24"/>
        </w:rPr>
        <w:t>ș</w:t>
      </w:r>
      <w:r w:rsidRPr="00311E11">
        <w:rPr>
          <w:rFonts w:ascii="宋体" w:eastAsia="宋体" w:hAnsi="宋体" w:cs="宋体"/>
          <w:color w:val="000000" w:themeColor="text1"/>
          <w:szCs w:val="24"/>
        </w:rPr>
        <w:t>in</w:t>
      </w:r>
      <w:r w:rsidRPr="00311E11">
        <w:rPr>
          <w:rFonts w:ascii="Cambria" w:eastAsia="宋体" w:hAnsi="Cambria" w:cs="Cambria"/>
          <w:color w:val="000000" w:themeColor="text1"/>
          <w:szCs w:val="24"/>
        </w:rPr>
        <w:t>ă</w:t>
      </w:r>
      <w:r w:rsidRPr="00311E11">
        <w:rPr>
          <w:rFonts w:ascii="宋体" w:eastAsia="宋体" w:hAnsi="宋体" w:cs="宋体"/>
          <w:color w:val="000000" w:themeColor="text1"/>
          <w:szCs w:val="24"/>
        </w:rPr>
        <w:t>u, Moldova.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(6)Department of Medical Specialties, Faculty of Medicine, "Iuliu Ha</w:t>
      </w:r>
      <w:r w:rsidRPr="00311E11">
        <w:rPr>
          <w:rFonts w:ascii="Cambria" w:eastAsia="宋体" w:hAnsi="Cambria" w:cs="Cambria"/>
          <w:color w:val="000000" w:themeColor="text1"/>
          <w:szCs w:val="24"/>
        </w:rPr>
        <w:t>ț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ieganu"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University of Medicine and Pharmacy, 400012 Cluj-Napoca, Romania.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Distinguishing tuberculous spondylodiscitis (TS) from pyogenic spondylodiscitis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(PS) remains difficult when presentation is non-specific, blood cultures are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negative, or initial biopsy is non-diagnostic. The two entities differ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substantially in antimicrobial strategies, resistance testing requirements,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public health interventions, and surgical thresholds, yet diagnostic delay is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associated with neurological deficits, spinal instability, and permanent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deformity. This narrative review maps the non-imaging evidence most useful for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frontline differentiation between TS and PS across five domains: epidemiology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and risk stratification, clinical presentation, laboratory markers, tissue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acquisition and histopathology, and molecular diagnostics. PubMed/MEDLINE was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searched from inception to 31 March 2026 using pre-specified Boolean search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terms; a secondary Scopus search identified no additional eligible records.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Following screening, approximately 90 records were included in this synthesis.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Priority was given to comparative TS-versus-PS cohorts, biopsy-yield and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culture-negative studies, pathology series, pediatric data, and recent molecular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diagnostics literature. Epidemiological TB (tuberculosis) risk, longer symptom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duration, constitutional symptoms, deformity, and a less intense acute-phase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response increase the probability of TS, whereas healthcare exposure,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bacteraemia, recent spinal procedures, and brisk neutrophilic inflammation favor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PS. In stable patients, the highest-yield strategy is early blood cultures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followed by image-guided biopsy with parallel tissue allocation for bacterial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culture, mycobacterial studies, histopathology, and selected molecular assays.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No single laboratory marker reliably distinguishes TS from PS without tissue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confirmation. Per a 2023 systematic review and meta-analysis, image-guided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percutaneous biopsy achieves microbiological confirmation in approximately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one-third of cases. Histopathology demonstrating caseating granulomatous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inflammation supports TS, although a substantial minority of confirmed cases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lack classic features. Supported by cohort prospective data, Xpert MTB/RIF Ultra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has the clearest first-line molecular role when TS is plausible and should be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requested at the time of first biopsy rather than reserved for salvage testing;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broader or targeted next-generation sequencing is best reserved for selected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unresolved cases. Imaging differentiation is addressed in the companion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manuscript, Part II.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DOI: 10.3390/diagnostics16142243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PMCID: PMC13409248</w:t>
      </w:r>
    </w:p>
    <w:p w:rsidR="00311E11" w:rsidRPr="00311E11" w:rsidRDefault="00311E11" w:rsidP="00311E11">
      <w:pPr>
        <w:rPr>
          <w:rFonts w:ascii="宋体" w:eastAsia="宋体" w:hAnsi="宋体" w:cs="宋体" w:hint="eastAsia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PMID: 42</w:t>
      </w:r>
      <w:r w:rsidR="00DC3F5D">
        <w:rPr>
          <w:rFonts w:ascii="宋体" w:eastAsia="宋体" w:hAnsi="宋体" w:cs="宋体"/>
          <w:color w:val="000000" w:themeColor="text1"/>
          <w:szCs w:val="24"/>
        </w:rPr>
        <w:t>510106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DC3F5D" w:rsidRDefault="00EF53A4" w:rsidP="00311E11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103</w:t>
      </w:r>
      <w:r w:rsidR="00311E11" w:rsidRPr="00DC3F5D">
        <w:rPr>
          <w:rFonts w:ascii="宋体" w:eastAsia="宋体" w:hAnsi="宋体" w:cs="宋体"/>
          <w:b/>
          <w:color w:val="FF0000"/>
          <w:szCs w:val="24"/>
        </w:rPr>
        <w:t>. Diagnostics (Basel). 2026 Jul 17;16(14):2234. doi: 10.3390/diagnostics16142234.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Prevalence and Genotypes of Mycobacteria Species in Formalin-Fixed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Paraffin-Embedded Tissue Samples in a Tertiary Laboratory, Northern Pretoria,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South Africa.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Khaba MC(1)(2), Ndam L(2), Mhlaba E(2), Mhlongo LN(1)(2), Makhado NA(3)(4).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(1)Department of Anatomical Pathology, Dr George Mukhari Academic Laboratory,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National Health Laboratory Service, Ga-Rankuwa 0208, South Africa.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(2)Department of Anatomical Pathology, Sefako Makgatho Health Sciences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University, Pretoria 0204, South Africa.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(3)Department of Microbiological Pathology, Sefako Makgatho Health Sciences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University, Pretoria 0204, South Africa.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(4)Department of Medical Microbiology, Dr George Mukhari Academic Laboratory,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National Health Laboratory Services, Ga-Rankuwa 0208, South Africa.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DC3F5D">
        <w:rPr>
          <w:rFonts w:ascii="宋体" w:eastAsia="宋体" w:hAnsi="宋体" w:cs="宋体"/>
          <w:b/>
          <w:color w:val="000000" w:themeColor="text1"/>
          <w:szCs w:val="24"/>
        </w:rPr>
        <w:t>Background/Objectives: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 Granulomatous inflammation in tissue biopsies presents a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diagnostic challenge, particularly in differentiating between Mycobacterium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tuberculosis complex (MTB) and non-tuberculous mycobacteria (NTM) in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high-HIV-prevalence areas. This study evaluates the prevalence and species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distribution of mycobacteria in formalin-fixed, paraffin-embedded (FFPE) tissues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from patients with granulomatous inflammation and correlates these findings with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demographic and clinical data. </w:t>
      </w:r>
      <w:r w:rsidRPr="00DC3F5D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 Conducted at the NHLS-Dr George Mukhari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Tertiary Laboratory, the retrospective descriptive study analysed 37 FFPE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samples (January 2019-December 2020) after obtaining ethical approval and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collecting clinicopathological data. Histopathological assessments using H&amp;E and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Ziehl-Neelsen (ZN) stains were carried out, and mycobacterial species were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identified utilising multiplex PCR with reverse hybridisation (GenoType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MTBC/CM/AS assays).</w:t>
      </w:r>
      <w:r w:rsidRPr="00DC3F5D">
        <w:rPr>
          <w:rFonts w:ascii="宋体" w:eastAsia="宋体" w:hAnsi="宋体" w:cs="宋体"/>
          <w:b/>
          <w:color w:val="000000" w:themeColor="text1"/>
          <w:szCs w:val="24"/>
        </w:rPr>
        <w:t xml:space="preserve"> Results: 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The cohort had an average age of 38.59 years, with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 predominance of females (59.5%) and a high HIV positivity rate (62.2%). The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most common biopsy site was lymph nodes (32.4%). All samples exhibited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necrotising granulomas, but only 8.1% displayed acid-fast bacilli (AFB) on ZN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staining. Molecular testing revealed mycobacterial DNA in 75.7% of samples,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identifying NTM alone in 50.0%, MTB alone in 10.7%, and both in 28.6%. M.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fortuitum was the most frequently recognised species. Importantly, there was no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significant association between mycobacterial detection and HIV status (p &gt;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0.05).</w:t>
      </w:r>
      <w:r w:rsidRPr="00DC3F5D">
        <w:rPr>
          <w:rFonts w:ascii="宋体" w:eastAsia="宋体" w:hAnsi="宋体" w:cs="宋体"/>
          <w:b/>
          <w:color w:val="000000" w:themeColor="text1"/>
          <w:szCs w:val="24"/>
        </w:rPr>
        <w:t xml:space="preserve"> Conclusions: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 The findings demonstrate that molecular methods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substantially improve mycobacterial detection rates and speciation. This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underscores the diagnostic limitations of ZN staining and highlights the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importance of molecular diagnostics for accurately identifying bacterial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aetiology, crucial for appropriate antimicrobial therapy in immunocompromised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patients.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DOI: 10.3390/diagnostics16142234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PMCID: PMC13408845</w:t>
      </w:r>
    </w:p>
    <w:p w:rsidR="00311E11" w:rsidRPr="00311E11" w:rsidRDefault="00DC3F5D" w:rsidP="00311E11">
      <w:pPr>
        <w:rPr>
          <w:rFonts w:ascii="宋体" w:eastAsia="宋体" w:hAnsi="宋体" w:cs="宋体" w:hint="eastAsia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t>PMID: 42510097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DC3F5D" w:rsidRDefault="00EF53A4" w:rsidP="00311E11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104</w:t>
      </w:r>
      <w:r w:rsidR="00311E11" w:rsidRPr="00DC3F5D">
        <w:rPr>
          <w:rFonts w:ascii="宋体" w:eastAsia="宋体" w:hAnsi="宋体" w:cs="宋体"/>
          <w:b/>
          <w:color w:val="FF0000"/>
          <w:szCs w:val="24"/>
        </w:rPr>
        <w:t>. Diagnostics (Basel). 2026 Jul 14;16(14):2199. doi: 10.3390/diagnostics16142199.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Incidental Papilledema Revealing Neurotuberculosis: A Case Report of a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lastRenderedPageBreak/>
        <w:t>Diagnostic Challenge.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Ambrosio L(1), Panariello S(2), Mattiello E(2), D'Andrea L(3), Bruzzese E(4), Lo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Vecchio A(4), Toro MD(1).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(1)Division of Ophthalmology, Department of Public Health, University of Naples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Federico II, Via Sergio Pansini 5, 80131 Naples, Italy.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(2)Ophthalmology Unit, Department of Neurosciences, Reproductive Sciences and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Odontostomatology, University of Naples Federico II, 80131 Naples, Italy.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(3)Department of Life Science, Health and Health Professions, Link Campus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University, 00165 Rome, Italy.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(4)Department of Translational Medical Sciences, University of Naples Federico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II, 80131 Naples, Italy.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DC3F5D">
        <w:rPr>
          <w:rFonts w:ascii="宋体" w:eastAsia="宋体" w:hAnsi="宋体" w:cs="宋体"/>
          <w:b/>
          <w:color w:val="000000" w:themeColor="text1"/>
          <w:szCs w:val="24"/>
        </w:rPr>
        <w:t xml:space="preserve">Background: 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Tuberculosis (TB) remains a major global health problem,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particularly in children, who are at higher risk of extrapulmonary and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disseminated disease. Ocular tuberculosis is a rare manifestation and often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presents with nonspecific signs, leading to delayed diagnosis. Case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DC3F5D">
        <w:rPr>
          <w:rFonts w:ascii="宋体" w:eastAsia="宋体" w:hAnsi="宋体" w:cs="宋体"/>
          <w:b/>
          <w:color w:val="000000" w:themeColor="text1"/>
          <w:szCs w:val="24"/>
        </w:rPr>
        <w:t xml:space="preserve">Presentation: 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We report the case of a five-year-old previously healthy boy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presenting with a two-month history of persistent fever. Initial investigations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revealed a positive tuberculin skin test and interferon gamma release assay,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with chest CT findings suggestive of miliary TB. Despite negative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microbiological tests, antitubercular therapy was initiated. Ophthalmologic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evaluation showed preserved visual acuity, bilateral mild papilledema, and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multifocal chorioretinitis. Neuroimaging confirmed central nervous system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involvement with disseminated tubercular lesions. Fundus examination revealed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grade 1 papilledema and chorioretinal lesions. Ocular ultrasound demonstrated an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increased optic nerve sheath diameter consistent with intracranial hypertension.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Brain MRI showed intra-axial tubercular dissemination. Extensive infectious and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immunological testing excluded alternative diagnoses. The patient received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prolonged multidrug antitubercular therapy, including isoniazid, rifampicin,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ethambutol, pyrazinamide, amikacin, levofloxacin, and corticosteroids. Treatment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was continued for a total of 15 months. Ocular findings regressed within two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months, and complete systemic resolution was achieved by 21 months. At a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five-year follow-up, the patient remained in good health with normal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neurodevelopment and no disease recurrence. </w:t>
      </w:r>
      <w:r w:rsidRPr="00DC3F5D">
        <w:rPr>
          <w:rFonts w:ascii="宋体" w:eastAsia="宋体" w:hAnsi="宋体" w:cs="宋体"/>
          <w:b/>
          <w:color w:val="000000" w:themeColor="text1"/>
          <w:szCs w:val="24"/>
        </w:rPr>
        <w:t xml:space="preserve">Conclusions: 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This case underscores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the importance of considering ocular TB in children with prolonged fever and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subtle ocular findings. Early ophthalmologic evaluation and prompt initiation of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antitubercular therapy are essential to prevent severe complications and ensure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favorable outcomes.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DOI: 10.3390/diagnostics16142199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PMCID: PMC13408448</w:t>
      </w:r>
    </w:p>
    <w:p w:rsidR="00311E11" w:rsidRPr="00311E11" w:rsidRDefault="00DC3F5D" w:rsidP="00311E11">
      <w:pPr>
        <w:rPr>
          <w:rFonts w:ascii="宋体" w:eastAsia="宋体" w:hAnsi="宋体" w:cs="宋体" w:hint="eastAsia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lastRenderedPageBreak/>
        <w:t>PMID: 42510063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DC3F5D" w:rsidRDefault="00EF53A4" w:rsidP="00311E11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105</w:t>
      </w:r>
      <w:r w:rsidR="00311E11" w:rsidRPr="00DC3F5D">
        <w:rPr>
          <w:rFonts w:ascii="宋体" w:eastAsia="宋体" w:hAnsi="宋体" w:cs="宋体"/>
          <w:b/>
          <w:color w:val="FF0000"/>
          <w:szCs w:val="24"/>
        </w:rPr>
        <w:t>. Diagnostics (Basel). 2026 Jul 8;16(14):2140. doi: 10.3390/diagnostics16142140.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Pulmonary Embolism Complicating Active Pulmonary Tuberculosis: Two Case Reports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of Tuberculosis-Associated Hypercoagulability.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Mitroi DM(1), Cioboata R(2), Olteanu M(2), Catana OM(1), Riza AL(3), Biciusca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V(2).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(1)Doctoral School, University of Medicine and Pharmacy of Craiova, 200349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Craiova, Romania.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(2)Department of Pneumology, University of Medicine and Pharmacy of Craiova,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200349 Craiova, Romania.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(3)Laboratory of Human Genomics, University of Medicine and Pharmacy of Craiova,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200638 Craiova, Romania.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DC3F5D">
        <w:rPr>
          <w:rFonts w:ascii="宋体" w:eastAsia="宋体" w:hAnsi="宋体" w:cs="宋体"/>
          <w:b/>
          <w:color w:val="000000" w:themeColor="text1"/>
          <w:szCs w:val="24"/>
        </w:rPr>
        <w:t>Background: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 Active tuberculosis (TB) is increasingly recognized as a systemic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thrombo-inflammatory condition capable of inducing a clinically relevant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hypercoagulable state and increasing the risk of venous thromboembolism,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including pulmonary embolism (PE). However, this association remains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underrecognized in clinical practice, and its biological and therapeutic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implications are not yet fully defined. We report two cases of active pulmonary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tuberculosis complicated by PE and review the literature to highlight the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temporal patterns, laboratory features, and clinical relevance of TB-associated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hypercoagulability. </w:t>
      </w:r>
      <w:r w:rsidRPr="00DC3F5D">
        <w:rPr>
          <w:rFonts w:ascii="宋体" w:eastAsia="宋体" w:hAnsi="宋体" w:cs="宋体"/>
          <w:b/>
          <w:color w:val="000000" w:themeColor="text1"/>
          <w:szCs w:val="24"/>
        </w:rPr>
        <w:t>Case Presentation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: The first case involved a 65-year-old man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with stage II chronic obstructive pulmonary disease in whom PE was identified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concurrently with the diagnosis of active pulmonary TB. The second case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concerned a 43-year-old man with severe pulmonary tuberculosis and subsequent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intestinal involvement, in whom bilateral PE developed during the early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intensive phase of antituberculous therapy. In both patients, laboratory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evaluation demonstrated a consistent prothrombotic profile characterized by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reactive thrombocytosis, elevated inflammatory markers, increased fibrinogen and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D-dimer levels, and reduced protein C and protein S activity. Both patients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received standard antituberculous therapy combined with therapeutic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anticoagulation, with favorable clinical, laboratory, and radiological outcomes.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Discussion: These cases are consistent with emerging evidence that active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tuberculosis may induce a reversible infection-related hypercoagulable state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through systemic inflammation, endothelial dysfunction, platelet activation,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impaired fibrinolysis, and transient depletion of natural anticoagulants. They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illustrate two clinically relevant temporal patterns described in the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literature, namely PE detected at diagnosis and PE developing during early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treatment despite appropriate therapy. The normalization of coagulation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abnormalities after treatment further supports an acquired TB-related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thrombo-inflammatory mechanism. </w:t>
      </w:r>
      <w:r w:rsidRPr="00DC3F5D">
        <w:rPr>
          <w:rFonts w:ascii="宋体" w:eastAsia="宋体" w:hAnsi="宋体" w:cs="宋体"/>
          <w:b/>
          <w:color w:val="000000" w:themeColor="text1"/>
          <w:szCs w:val="24"/>
        </w:rPr>
        <w:t>Conclusions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: Active tuberculosis may be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complicated by pulmonary embolism both at presentation and during the early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phase of treatment. Reactive thrombocytosis, elevated inflammatory markers,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increased D-dimer levels, and reduced protein C and protein S activity may serve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as useful indicators of TB-associated hypercoagulability. Pulmonary embolism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should be considered in patients with severe tuberculosis who show unexplained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deterioration or delayed recovery. Larger prospective studies are needed to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clarify the role of coagulation profiling and biomarker-guided management in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this setting.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DOI: 10.3390/diagnostics16142140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PMCID: PMC13409466</w:t>
      </w:r>
    </w:p>
    <w:p w:rsidR="00311E11" w:rsidRPr="00311E11" w:rsidRDefault="0038362D" w:rsidP="00311E11">
      <w:pPr>
        <w:rPr>
          <w:rFonts w:ascii="宋体" w:eastAsia="宋体" w:hAnsi="宋体" w:cs="宋体" w:hint="eastAsia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t>PMID: 42510004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DC3F5D" w:rsidRDefault="00EF53A4" w:rsidP="00311E11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106</w:t>
      </w:r>
      <w:r w:rsidR="00311E11" w:rsidRPr="00DC3F5D">
        <w:rPr>
          <w:rFonts w:ascii="宋体" w:eastAsia="宋体" w:hAnsi="宋体" w:cs="宋体"/>
          <w:b/>
          <w:color w:val="FF0000"/>
          <w:szCs w:val="24"/>
        </w:rPr>
        <w:t>. New Microbiol. 2026 Jul;49(2):107-116.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Kinetical Analysis of Mutant PZase Enzyme To Uncover The Pyrazinamide Resistance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In Mycobacterium tuberculosis Clinical Isolates.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Purkan P(1)(2), Nadila A(1), Nabilah BA(1), Sujatha RM(3), Retnowati W(4),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Pudjiastuti P(1), Hadi S(1)(2).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(1)Department of Chemistry, Faculty of Science and Technology, Airlangga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University. Jl. Mulyorejo, Surabaya 60115, Indonesia.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(2)Research Group of Biochemical Engineering, Enzyme Biotechnology and Gene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Cloning, Airlangga University. Jl. Mulyorejo, Surabaya 60115, Indonesia.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(3)Department of Biochemistry, St. Peter's Institute of Higher Education and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Research, Avadi, Chennai, Tamil Nadu, India.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(4)Microbiology Division, Faculty of Medicine, Airlangga University, Jl Prof Dr.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Moestajab, Surabaya, Indonesia.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Mutations in the pncA gene of Mycobacterium tuberculosis, which encodes the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PZase enzyme, are closely linked to pyrazinamide (PZA) resistance. Two clinical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isolates, R1 and R2, which are resistant to pyrazinamide at concentrations of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100 μg/mL and 150 μg/mL, respectively, harbor multiple pncA mutations. The pncA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R1 gene carries T41C, G419A, and A535G, causing Cys14Arg, Arg140His, and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Ser179Gly substitutions in PZase; the pncA R2 gene has G76T, G112C, A403C, and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G419A, resulting in Ala26Ser, Ala38Pro, Thr135Pro, and Arg140His changes. The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relationship between the biochemical characteristics of the enzymes with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pyrazinamide resistance in isolates R1 and R2 remains unclear. This paper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presents the catalytic kinetics of mutant enzymes and explores their association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with PZA resistance. The impact of these mutations on enzyme function was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evaluated by expressing recombinant PZase in Escherichia coli, resulting in the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production of proteins approximately 21 kDa in size, as confirmed by SDS-PAGE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analysis. Kinetic analysis revealed reduced catalytic efficiency (kcat/KM) for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the PZase-R1 and PZase-R2 variants, measured at 1.759 mM¯¹·min¯¹ and 1.500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mM¯¹·min¯¹, respectively, in comparison to the wild-type enzyme, which exhibited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 value of 2.443 mM¯¹·min¯¹. These reductions correspond to decreases of 28.0%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for PZase-R1 and 38.6% for PZase-R2. The observed declines in catalytic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efficiency are likely to contribute to the development of resistance to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pyrazinamide (PZA). Further studies, including site-directed mutagenesis and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structural modelling, are needed to clarify the impact of each mutation on PZase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function and drug interaction.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PMID: 42507121 [Indexed for MEDLINE]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DC3F5D" w:rsidRDefault="00EF53A4" w:rsidP="00311E11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107</w:t>
      </w:r>
      <w:r w:rsidR="00311E11" w:rsidRPr="00DC3F5D">
        <w:rPr>
          <w:rFonts w:ascii="宋体" w:eastAsia="宋体" w:hAnsi="宋体" w:cs="宋体"/>
          <w:b/>
          <w:color w:val="FF0000"/>
          <w:szCs w:val="24"/>
        </w:rPr>
        <w:t>. Trop Med Infect Dis. 2026 Jul 20;11(7):203. doi: 10.3390/tropicalmed11070203.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Beyond Cure: A Scoping Review of Post-Tuberculosis Long-Term Health Outcomes.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Menon S(1)(2), Harries AD(1)(3), Dlodlo RA(1), Badoum G(1)(4)(5), Dogo MF(1),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Mbitikon OB(1), Sinha P(1)(6)(7), Lin Y(1), Jaju J(1), Soe AN(1), Singh A(1),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Kalottee B(1), Koura KG(1)(8).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(1)International Union Against Tuberculosis and Lung Disease, 75001 Paris,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France.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(2)Epitech Research, 1160 Auderghem, Belgium.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(3)Department of Clinical Research, Faculty of Infectious and Tropical Diseases,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London School of Hygiene and Tropical Medicine, London WC1E 7HT, UK.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(4)Unité de Formation et de Recherche en Sciences de la Santé (UFR/SDS),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Université Joseph KI-ZERBO, Ouagadougou P.O. Box 7021, Burkina Faso.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(5)Service de Pneumologie, Centre Hospitalier et Universitaire de Yalgado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Ouédraogo (CNHU-YO), Ouagadougou P.O. Box 7022, Burkina Faso.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(6)Section of Infectious Diseases, Boston University Chobanian and Avedisian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School of Medicine, Boston, MA 02118, USA.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(7)Boston Medical Center, Boston, MA 02118, USA.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(8)Unité Mixte de Recherche MERIT (UMR261), Université Paris Cité, Institut de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Recherche pour le Développement (IRD), 75006 Paris, France.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DC3F5D">
        <w:rPr>
          <w:rFonts w:ascii="宋体" w:eastAsia="宋体" w:hAnsi="宋体" w:cs="宋体"/>
          <w:b/>
          <w:color w:val="000000" w:themeColor="text1"/>
          <w:szCs w:val="24"/>
        </w:rPr>
        <w:t>BACKGROUND: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 Tuberculosis (TB) remains a leading cause of global morbidity and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mortality, yet its impact extends far beyond microbiological cure. Many TB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survivors experience persistent structural lung damage or functional impairment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consistent with post-TB lung disease, while growing evidence highlights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long-term non-respiratory health outcomes. Synthesizing evidence across lung and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non- respiratory health outcomes, along with their risk factors, is critical to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inform long-term TB care.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DC3F5D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 We conducted a scoping review including systematic reviews reporting on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post-TB long-term health outcomes. A search was performed in PubMed/MEDLINE on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27 July 2025, using terms related to "tuberculosis," "systematic review,"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"meta-analysis," "sequelae" and "long-term health outcomes," without language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restrictions.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DC3F5D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 Nine systematic reviews met inclusion criteria. Most focused on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pulmonary outcomes and consistently demonstrated that TB is associated with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chronic airflow obstruction, reduced lung function, and an increased long-term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risk of lung cancer, although residual confounding from environmental, clinical,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and socioeconomic factors cannot be excluded. While younger adults are more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prone to developing COPD after TB in high TB burden settings, older individuals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face a higher risk of broader post-TB lung sequelae. Evidence suggested that TB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survivors are at increased risk of non-respiratory complications. HIV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co-infection, low CD4 counts, older age, pre-existing hepatitis, prior TB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treatment, and hypoalbuminemia were associated with post-TB liver injury, while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baseline hearing impairment and HIV co-infection increased the likelihood of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post-TB hearing loss. TB was also linked to elevated risk of several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non-pulmonary cancers, including oesophageal, cervical, hematological,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pancreatic, and gastric malignancies, with the highest risk within the first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year after TB diagnosis and persisting, though attenuated, in subsequent years.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DC3F5D">
        <w:rPr>
          <w:rFonts w:ascii="宋体" w:eastAsia="宋体" w:hAnsi="宋体" w:cs="宋体"/>
          <w:b/>
          <w:color w:val="000000" w:themeColor="text1"/>
          <w:szCs w:val="24"/>
        </w:rPr>
        <w:t xml:space="preserve">CONCLUSION: 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TB should be viewed as a chronic condition with enduring lung and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non-respiratory health outcomes. TB survivors face increased risks of COPD, lung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cancer, and a range of non-respiratory health outcomes, including hepatic and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auditory complications, particularly among high-risk groups, such as those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living with HIV infection, along with baseline hearing and hepatic impairment.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Public health programmes must extend care beyond microbiological cure to include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integrated, post-TB long-term monitoring of lung, hepatic and hearing across all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ages, including malignancy surveillance, after baseline assessments to identify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high-risk TB survivors. Future research should also elucidate risk factors for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post-TB malignancy, and clarify the relationship between neurological, renal,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and musculoskeletal sequelae and TB to inform evidence-based TB survivorship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care.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DOI: 10.3390/tropicalmed11070203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PMCID: PMC13417468</w:t>
      </w:r>
    </w:p>
    <w:p w:rsidR="00311E11" w:rsidRPr="00311E11" w:rsidRDefault="00DC3F5D" w:rsidP="00311E11">
      <w:pPr>
        <w:rPr>
          <w:rFonts w:ascii="宋体" w:eastAsia="宋体" w:hAnsi="宋体" w:cs="宋体" w:hint="eastAsia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t>PMID: 42506774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DC3F5D" w:rsidRDefault="00EF53A4" w:rsidP="00311E11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108</w:t>
      </w:r>
      <w:r w:rsidR="00311E11" w:rsidRPr="00DC3F5D">
        <w:rPr>
          <w:rFonts w:ascii="宋体" w:eastAsia="宋体" w:hAnsi="宋体" w:cs="宋体"/>
          <w:b/>
          <w:color w:val="FF0000"/>
          <w:szCs w:val="24"/>
        </w:rPr>
        <w:t>. Trop Med Infect Dis. 2026 Jul 10;11(7):193. doi: 10.3390/tropicalmed11070193.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Tuberculosis-Related Hospitalization According to Comorbidity Burden: A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Retrospective Single-Center Cohort Study.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lastRenderedPageBreak/>
        <w:t>Kwon OB(1), Heo Y(1), Moon DH(1), Kim WJ(1), Lee SJ(1), Han SS(1).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(1)Division of Pulmonary and Critical Care Medicine, Department of Internal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Medicine, Kangwon National University Hospital, Chuncheon 24289, Republic of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Korea.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Tuberculosis (TB) remains a major infectious disease associated with substantial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healthcare burdens. Although previous studies mainly focused on mortality and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treatment outcomes, factors associated with TB-related hospitalization have not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been sufficiently investigated. The aim of our study was to evaluate clinical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factors associated with TB-related hospitalization in patients with TB. Patients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diagnosed with TB at Kangwon National University Hospital between January 2024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and December 2025 were included in our study. The primary outcome was TB-related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hospitalization during follow-up after TB diagnosis. Hospitalization-free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probability was analyzed using Kaplan-Meier analysis, and Cox proportional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hazards regression analysis was performed to identify factors associated with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hospitalization risk. A total of 81 patients were included; 63 patients were in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the outpatient group and 18 patients were in the hospitalization group. The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median time to hospitalization was 36 days. The Charlson comorbidity index (CCI)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was significantly higher in the hospitalization group (5.78 ± 2.88 vs. 4.16 ± </w:t>
      </w:r>
    </w:p>
    <w:p w:rsidR="00311E11" w:rsidRPr="00311E11" w:rsidRDefault="00311E11" w:rsidP="00311E11">
      <w:pPr>
        <w:rPr>
          <w:rFonts w:ascii="宋体" w:eastAsia="宋体" w:hAnsi="宋体" w:cs="宋体" w:hint="eastAsia"/>
          <w:color w:val="000000" w:themeColor="text1"/>
          <w:szCs w:val="24"/>
        </w:rPr>
      </w:pPr>
      <w:r w:rsidRPr="00311E11">
        <w:rPr>
          <w:rFonts w:ascii="宋体" w:eastAsia="宋体" w:hAnsi="宋体" w:cs="宋体" w:hint="eastAsia"/>
          <w:color w:val="000000" w:themeColor="text1"/>
          <w:szCs w:val="24"/>
        </w:rPr>
        <w:t xml:space="preserve">2.22, p = 0.038). Patients with CCI values ≥ 5 showed significantly lower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hospitalization-free probability during the 180-day follow-up period (log-rank p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= 0.013). In multivariable Cox hazards regression analysis, both serum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creatinine (hazard ratio (HR), 1.599; 95% confidence interval (CI), 1.057-2.419;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 = 0.026) and CCI (HR, 1.221; 95% CI, 1.018-1.466; p = 0.032) were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significantly associated with TB-related hospitalization. A higher comorbidity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burden may help identify patients at risk for TB-related hospitalization.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DOI: 10.3390/tropicalmed11070193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PMCID: PMC13417246</w:t>
      </w:r>
    </w:p>
    <w:p w:rsidR="00311E11" w:rsidRPr="00311E11" w:rsidRDefault="00DC3F5D" w:rsidP="00311E11">
      <w:pPr>
        <w:rPr>
          <w:rFonts w:ascii="宋体" w:eastAsia="宋体" w:hAnsi="宋体" w:cs="宋体" w:hint="eastAsia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t>PMID: 42506763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DC3F5D" w:rsidRDefault="00EF53A4" w:rsidP="00311E11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109</w:t>
      </w:r>
      <w:r w:rsidR="00311E11" w:rsidRPr="00DC3F5D">
        <w:rPr>
          <w:rFonts w:ascii="宋体" w:eastAsia="宋体" w:hAnsi="宋体" w:cs="宋体"/>
          <w:b/>
          <w:color w:val="FF0000"/>
          <w:szCs w:val="24"/>
        </w:rPr>
        <w:t>. Vaccines (Basel). 2026 Jun 27;14(7):567. doi: 10.3390/vaccines14070567.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Zinc: An Emerging Axis of Host-Pathogen Interaction in Tuberculosis.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Holl J(1)(2), Corro J(1)(2), Mishra BB(3), Ojha AK(1)(4).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(1)Division of Genetics, Wadsworth Center, New York State Department of Health,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Albany, NY 12208, USA.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(2)American Public Health Laboratories, Wadsworth Center, New York State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Department of Health, Albany, NY 12208, USA.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(3)Department of Immunology and Microbial Disease, Albany Medical College,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Albany, NY 12208, USA.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(4)Department of Biomedical Sciences, University at Albany, Albany, NY 12208,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USA.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Zinc is an essential micronutrient required by all forms of life, including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Mycobacterium tuberculosis (Mtb), the etiological agent of tuberculosis. Mtb can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persist within the host for years and requires a prolonged, multidrug treatment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regimen for effective clearance. The sequestration of essential metals,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including zinc, during bacterial infection is a key component of the host's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innate immune response. In this process, metal-chelating proteins such as the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neutrophil-derived protein, calprotectin, play a central role in nutritional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immunity by limiting microbial access to critical metal cofactors. Despite its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importance, the impact of nutritional immunity on Mtb pathogenesis remains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incompletely understood. In this review, we summarize recent advances in our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understanding of zinc-responsive adaptations in Mtb and propose that zinc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limitation within the host contributes significantly to the long-term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persistence of this pathogen.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DOI: 10.3390/vaccines14070567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PMCID: PMC13418864</w:t>
      </w:r>
    </w:p>
    <w:p w:rsidR="00311E11" w:rsidRPr="00311E11" w:rsidRDefault="00DC3F5D" w:rsidP="00311E11">
      <w:pPr>
        <w:rPr>
          <w:rFonts w:ascii="宋体" w:eastAsia="宋体" w:hAnsi="宋体" w:cs="宋体" w:hint="eastAsia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t>PMID: 42506604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DC3F5D" w:rsidRDefault="00EF53A4" w:rsidP="00311E11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110</w:t>
      </w:r>
      <w:r w:rsidR="00311E11" w:rsidRPr="00DC3F5D">
        <w:rPr>
          <w:rFonts w:ascii="宋体" w:eastAsia="宋体" w:hAnsi="宋体" w:cs="宋体"/>
          <w:b/>
          <w:color w:val="FF0000"/>
          <w:szCs w:val="24"/>
        </w:rPr>
        <w:t>. J Pers Med. 2026 Jun 29;16(7):351. doi: 10.3390/jpm16070351.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Tuberculosis and Post-Tuberculosis Lung Changes Are Associated with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Exacerbations and Mortality in Chronic Obstructive Pulmonary Disease: A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Population-Based Retrospective Cohort Study.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Oskin D(1), Kotlyarov S(2).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(1)Department of Infectious Diseases and Phthisiology, Ryazan State Medical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University, 390026 Ryazan, Russia.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(2)Department of Nursing, Ryazan State Medical University, 390026 Ryazan,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Russia.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DC3F5D">
        <w:rPr>
          <w:rFonts w:ascii="宋体" w:eastAsia="宋体" w:hAnsi="宋体" w:cs="宋体"/>
          <w:b/>
          <w:color w:val="000000" w:themeColor="text1"/>
          <w:szCs w:val="24"/>
        </w:rPr>
        <w:t xml:space="preserve">Background/Objective: 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Chronic obstructive pulmonary disease (COPD) and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tuberculosis (TB) are among the most prevalent respiratory disorders worldwide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and frequently coexist in the same patient. However, the contribution of active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TB and post-tuberculosis lung disease to COPD exacerbations and long-term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prognosis remains incompletely defined. This paper aim to evaluate the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prevalence, clinical correlates, and prognostic significance of tuberculosis and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its sequelae in patients with COPD. </w:t>
      </w:r>
      <w:r w:rsidRPr="00DC3F5D">
        <w:rPr>
          <w:rFonts w:ascii="宋体" w:eastAsia="宋体" w:hAnsi="宋体" w:cs="宋体"/>
          <w:b/>
          <w:color w:val="000000" w:themeColor="text1"/>
          <w:szCs w:val="24"/>
        </w:rPr>
        <w:t>Materials and methods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: We conducted a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population-based retrospective cohort study using de-identified data from the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regional healthcare information system. The cohort included all adults aged 18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years or older with a recorded diagnosis of COPD (ICD-10 code J44). Tuberculosis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was identified by codes A15-A19 and B90. The primary outcomes were COPD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exacerbations and all-cause mortality. Group comparisons, cluster analysis,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Kaplan-Meier survival analysis, Cox proportional hazards modeling, and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multivariable logistic regression were performed.</w:t>
      </w:r>
      <w:r w:rsidRPr="00DC3F5D">
        <w:rPr>
          <w:rFonts w:ascii="宋体" w:eastAsia="宋体" w:hAnsi="宋体" w:cs="宋体"/>
          <w:b/>
          <w:color w:val="000000" w:themeColor="text1"/>
          <w:szCs w:val="24"/>
        </w:rPr>
        <w:t xml:space="preserve"> Results: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 Tuberculosis and/or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its sequelae were identified in 267 of 16,714 patients (1.60%): post-TB sequelae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(B90) in 197 (73.8%), active TB (A15-A19) in 22 (8.2%), and both in 48 (18.0%).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Compared with patients without TB, those with COPD-TB were younger (63.5 ± 14.2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vs. 65.7 ± 14.7 years; p = 0.018), more often male (75.3% vs. 52.0%; p &lt; 0.001),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and had higher mortality (16.5% vs. 10.6%; p = 0.003). COPD-TB was associated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with bronchiectasis (OR = 6.07; 95% CI, 3.03-12.16), pulmonary fibrosis (OR =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5.67; 95% CI, 3.40-9.45), and pneumonia (OR = 2.01; 95% CI, 1.50-2.71), but with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lower prevalences of obesity, diabetes mellitus, and hypertension. Patients with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TB experienced more COPD exacerbations, including recurrent exacerbations. In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multivariable models, tuberculosis was associated with COPD exacerbations after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adjustment for age and sex (adjusted OR = 1.43; 95% CI, 1.05-1.96); this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association was attenuated and lost significance after further adjustment for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post-tuberculosis structural lung disease, indicating that it is largely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mediated by post-TB sequelae. Tuberculosis remained associated with mortality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after adjustment for available covariates, both in logistic regression (adjusted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OR = 1.61; 95% CI, 1.14-2.28) and in Cox analysis (hazard ratio = 1.37; 95% CI,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1.01-1.85).</w:t>
      </w:r>
      <w:r w:rsidRPr="00DC3F5D">
        <w:rPr>
          <w:rFonts w:ascii="宋体" w:eastAsia="宋体" w:hAnsi="宋体" w:cs="宋体"/>
          <w:b/>
          <w:color w:val="000000" w:themeColor="text1"/>
          <w:szCs w:val="24"/>
        </w:rPr>
        <w:t xml:space="preserve"> Conclusions: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 Tuberculosis and post-tuberculosis lung disease are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clinically accessible risk markers associated with COPD exacerbations and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mortality. These findings support recognizing patients with COPD and a history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of TB as a high-risk subgroup requiring intensified follow-up, proactive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exacerbation prevention, and prioritized vaccination counseling. In the context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of personalized medicine, a documented history of tuberculosis and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post-tuberculosis lung changes represents a clinically accessible marker that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can be used to stratify individual risk and to tailor monitoring and prevention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in patients with COPD.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DOI: 10.3390/jpm16070351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PMCID: PMC13412321</w:t>
      </w:r>
    </w:p>
    <w:p w:rsidR="00311E11" w:rsidRPr="00311E11" w:rsidRDefault="00DC3F5D" w:rsidP="00311E11">
      <w:pPr>
        <w:rPr>
          <w:rFonts w:ascii="宋体" w:eastAsia="宋体" w:hAnsi="宋体" w:cs="宋体" w:hint="eastAsia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t>PMID: 42506078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DC3F5D" w:rsidRDefault="00EF53A4" w:rsidP="00311E11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111</w:t>
      </w:r>
      <w:r w:rsidR="00311E11" w:rsidRPr="00DC3F5D">
        <w:rPr>
          <w:rFonts w:ascii="宋体" w:eastAsia="宋体" w:hAnsi="宋体" w:cs="宋体"/>
          <w:b/>
          <w:color w:val="FF0000"/>
          <w:szCs w:val="24"/>
        </w:rPr>
        <w:t>. Mar Drugs. 2026 Jul 3;24(7):236. doi: 10.3390/md24070236.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Iron-Reversible Bactericidal Activity of Marine-Derived Aspergillus ostianus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Hydroxamate Pyrazinones Against Replicating and Hypoxia-Induced Non-Replicating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Mycobacterium smegmatis.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Azhari M(1), Isshiki S(2), Horinouchi R(2), Singgih M(1), Arai M(2), Garmana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lastRenderedPageBreak/>
        <w:t>AN(3), Hartati R(4), Hadisaputri YE(5), Yuniarti N(6), Julianti E(1).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(1)Department of Pharmacochemistry, School of Pharmacy, Institut Teknologi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Bandung, Bandung 40132, Indonesia.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(2)Laboratory of Natural Products for Drug Discovery, Graduate School of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Pharmaceutical Sciences, The University of Osaka, Suita 565-0871, Japan.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(3)Department of Pharmacology and Clinical Pharmacy, School of Pharmacy,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Institut Teknologi Bandung, Bandung 40132, Indonesia.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(4)Department of Pharmaceutical Biology, School of Pharmacy, Institut Teknologi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Bandung, Bandung 40132, Indonesia.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(5)Department of Biological Pharmacy, Faculty of Pharmacy, Universitas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Padjadjaran, Sumedang 45363, Indonesia.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(6)Department of Pharmacology and Clinical Pharmacy, Faculty of Pharmacy,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Universitas Gadjah Mada, Yogyakarta 55281, Indonesia.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Tuberculosis therapy is prolonged partly because dormant subpopulations of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Mycobacterium tuberculosis show reduced susceptibility to first-line drugs.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Therefore, agents active against both replicating and non-replicating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mycobacteria remain important to explore. Here, we investigated secondary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metabolites from the Indonesian marine-derived fungus Aspergillus ostianus for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activity against Mycobacterium smegmatis, a BSL-1 mycobacterial model, under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aerobic and hypoxia-induced non-replicating conditions, and examined the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underlying mechanism. Bioassay-guided fractionation and spectroscopic analysis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identified three hydroxamate pyrazinones: neohydroxyaspergillic acid (NHAA),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hydroxyaspergillic acid (HAA), and neoaspergillic acid (NAA). The MIC values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were 1.56 µg/mL for NHAA and 3.13 µg/mL for HAA and NAA under both aerobic and </w:t>
      </w:r>
    </w:p>
    <w:p w:rsidR="00311E11" w:rsidRPr="00311E11" w:rsidRDefault="00311E11" w:rsidP="00311E11">
      <w:pPr>
        <w:rPr>
          <w:rFonts w:ascii="宋体" w:eastAsia="宋体" w:hAnsi="宋体" w:cs="宋体" w:hint="eastAsia"/>
          <w:color w:val="000000" w:themeColor="text1"/>
          <w:szCs w:val="24"/>
        </w:rPr>
      </w:pPr>
      <w:r w:rsidRPr="00311E11">
        <w:rPr>
          <w:rFonts w:ascii="宋体" w:eastAsia="宋体" w:hAnsi="宋体" w:cs="宋体" w:hint="eastAsia"/>
          <w:color w:val="000000" w:themeColor="text1"/>
          <w:szCs w:val="24"/>
        </w:rPr>
        <w:t xml:space="preserve">hypoxic atmospheres. Time-kill kinetics showed ≥3-log10 CFU reductions within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24-72 h at 4-8× MIC under aerobic conditions and within 48-96 h at 4-8× MIC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under hypoxia, with no regrowth at the final sampling point. Scanning electron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microscopy and release of UV-absorbing intracellular material at OD260/OD280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were consistent with envelope disruption in both atmospheres. Antimycobacterial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activity was attenuated in a concentration-dependent manner by exogenous Fe3+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and was reversed at 100 µM FeCl3, whereas isoniazid activity was unaffected,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supporting iron-reversible and pyrazinone-specific killing. Together with the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established Fe3+-binding hydroxamate pharmacophore shared by this compound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class, these findings support iron sequestration as a plausible mechanism and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identify fungal hydroxamate pyrazinones as scaffolds that retain bactericidal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activity against hypoxia-adapted non-replicating mycobacteria, warranting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further evaluation in M. tuberculosis models.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DOI: 10.3390/md24070236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PMCID: PMC13412789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PMID: 42505976 [Indexed for MEDLINE]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DC3F5D" w:rsidRDefault="00EF53A4" w:rsidP="00311E11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112</w:t>
      </w:r>
      <w:r w:rsidR="00311E11" w:rsidRPr="00DC3F5D">
        <w:rPr>
          <w:rFonts w:ascii="宋体" w:eastAsia="宋体" w:hAnsi="宋体" w:cs="宋体"/>
          <w:b/>
          <w:color w:val="FF0000"/>
          <w:szCs w:val="24"/>
        </w:rPr>
        <w:t>. Diseases. 2026 Jun 23;14(7):223. doi: 10.3390/diseases14070223.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Molecular Interplay of Brucellosis and Tuberculosis: Insights into Telomere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Biology, Oxidative Stress, and Drug Resistance Mechanisms.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Mohamed Abdoul-Latif F(1), Kumar R(2)(3), Ali Ismael Y(1)(4), Mohamed H(1)(4),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Merito A(1), Ali Ahmed S(1)(4), Yadav R(3), Jutur PP(5), Vibhuti A(2).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(1)Medicinal Research Institute, Center for Studies and Research of Djibouti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(CERD), Djibouti City P.O. Box 486, Djibouti.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(2)Department of Biotechnology, Sri Ramaswamy Memorial Institute of Science and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Technology, Delhi-NCR, Sonipat 131029, India.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(3)Ganesh Scientific Research Foundation, Kirti Nagar, Delhi 110015, India.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(4)Centre Hospitalier Universitaire (CHU) of Djibouti, Djibouti City P.O. Box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2123, Djibouti.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(5)International Centre for Genetic Engineering and Bio-Technology, Aruna Asaf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Ali Marg, New Delhi 110067, India.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Brucellosis and tuberculosis (TB) are chronic infectious diseases of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international public health importance, with developing countries being most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affected. The diagnosis of brucellosis and tuberculosis co-infection remains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challenging because both diseases present with overlapping nonspecific clinical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manifestations, such as prolonged fever, fatigue, and weight loss, and elicit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similar cell-mediated immune and inflammatory responses, which can complicate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differential diagnosis, particularly in endemic regions. Recently, it has been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shown that chronic infections affect cell stress pathways such as oxidative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stress and telomere function. The current literature review provides an overview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of the relationship between brucellosis and TB at a molecular level, focusing on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telomere biology, oxidative stress and the mechanisms of antimicrobial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resistance. Due to chronic immune response in brucellosis and TB patients, an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increase in reactive oxygen species (ROS) levels is observed, leading to DNA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damage and subsequent telomere shortening and alteration of telomerase activity.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These alterations might be responsible for immune senescence, weakened defense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response and persistent infection. In addition, different methods of drug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resistance have been discovered among brucellae and mycobacteria, such as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mutation in target sites, efflux systems and intracellular persistence, making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their eradication difficult. Finally, the potential role of telomere-related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genes and biomarkers of oxidative stress in diagnosis and prognosis is also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highlighted. Insights into these interrelated pathways would allow us to have a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better understanding of host-pathogen interactions and hence offer a possible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means of developing new strategies in the fight against co-infection by finding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new biomarkers.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DOI: 10.3390/diseases14070223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PMCID: PMC13408312</w:t>
      </w:r>
    </w:p>
    <w:p w:rsidR="00311E11" w:rsidRPr="00311E11" w:rsidRDefault="00A9557E" w:rsidP="00311E11">
      <w:pPr>
        <w:rPr>
          <w:rFonts w:ascii="宋体" w:eastAsia="宋体" w:hAnsi="宋体" w:cs="宋体" w:hint="eastAsia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t>PMID: 42505551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A9557E" w:rsidRDefault="00EF53A4" w:rsidP="00311E11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113</w:t>
      </w:r>
      <w:r w:rsidR="00311E11" w:rsidRPr="00A9557E">
        <w:rPr>
          <w:rFonts w:ascii="宋体" w:eastAsia="宋体" w:hAnsi="宋体" w:cs="宋体"/>
          <w:b/>
          <w:color w:val="FF0000"/>
          <w:szCs w:val="24"/>
        </w:rPr>
        <w:t>. AIDS. 2026 Jul 23. doi: 10.1097/QAD.0000000000004583. Online ahead of print.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New tuberculosis vaccines for people with HIV.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Sumner T(1)(2)(3), Clark RA(1)(2)(3), Prys-Jones TO(1)(2)(3), Bakker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R(1)(2)(3)(4), Churchyard G(5)(6)(7), White RG(1)(2)(3).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(1)TB Modelling Group and TB Centre.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(2)Centre for the Mathematical Modelling of Infectious Diseases.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(3)Department of Infectious Disease Epidemiology, London School of Hygiene and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Tropical Medicine, London, UK.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(4)KNCV Tuberculosis Foundation, The Hague, The Netherlands.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(5)The Aurum Institute, Isando.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(6)School of Public Health, University of Witwatersrand, Johannesburg, South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Africa.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(7)Department of Medicine, Vanderbilt University, Nashville, TN, USA.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A9557E">
        <w:rPr>
          <w:rFonts w:ascii="宋体" w:eastAsia="宋体" w:hAnsi="宋体" w:cs="宋体"/>
          <w:b/>
          <w:color w:val="000000" w:themeColor="text1"/>
          <w:szCs w:val="24"/>
        </w:rPr>
        <w:t>BACKGROUND: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 In 2024, tuberculosis (TB) caused 160</w:t>
      </w:r>
      <w:r w:rsidRPr="00311E11">
        <w:rPr>
          <w:rFonts w:ascii="MS Gothic" w:eastAsia="宋体" w:hAnsi="MS Gothic" w:cs="MS Gothic"/>
          <w:color w:val="000000" w:themeColor="text1"/>
          <w:szCs w:val="24"/>
        </w:rPr>
        <w:t> 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000 deaths in people with HIV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(PWH). Several new TB vaccines are in development. The best way to use new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vaccines to reduce the TB burden in PWH, and how this may vary by setting, is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unknown.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A9557E">
        <w:rPr>
          <w:rFonts w:ascii="宋体" w:eastAsia="宋体" w:hAnsi="宋体" w:cs="宋体"/>
          <w:b/>
          <w:color w:val="000000" w:themeColor="text1"/>
          <w:szCs w:val="24"/>
        </w:rPr>
        <w:t xml:space="preserve">METHODS: 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We used a mathematical model to simulate TB vaccination in 15 high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HIV/TB burden countries with varying HIV prevalence and ART coverage. We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estimated the impact of vaccination with 50% efficacy against TB disease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targeted by HIV status and explored how the impact depends on assumptions about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vaccine efficacy by HIV and ART status.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A9557E">
        <w:rPr>
          <w:rFonts w:ascii="宋体" w:eastAsia="宋体" w:hAnsi="宋体" w:cs="宋体"/>
          <w:b/>
          <w:color w:val="000000" w:themeColor="text1"/>
          <w:szCs w:val="24"/>
        </w:rPr>
        <w:t xml:space="preserve">RESULTS: 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Vaccines that do not work or are contraindicated in PWH could avert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5-13% of cases in PWH between 2030 and 2050 through the indirect effect of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vaccinating people without HIV. Vaccines that were equally effective in PWH and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people without HIV could avert 19-25% of cases in PWH. The impact of strategies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targeted by HIV status depended on country-specific factors. In countries with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high ART coverage, vaccination of PWH may be more effective at averting cases in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PWH than vaccination of HIV-uninfected individuals. Strategies targeting PWH are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likely to be more efficient than those targeting HIV-uninfected individuals.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A9557E">
        <w:rPr>
          <w:rFonts w:ascii="宋体" w:eastAsia="宋体" w:hAnsi="宋体" w:cs="宋体"/>
          <w:b/>
          <w:color w:val="000000" w:themeColor="text1"/>
          <w:szCs w:val="24"/>
        </w:rPr>
        <w:t>CONCLUSION:</w:t>
      </w: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 The most impactful way to use new TB vaccines to reduce the burden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of TB in PWH will depend on setting-specific factors, including ART coverage and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the efficacy of the vaccine in PWH. Vaccinating PWH is likely to be an efficient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use of resources to reduce TB burden in PWH.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Copyright © 2026 Wolters Kluwer Health, LLC. All rights reserved.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DOI: 10.1097/QAD.0000000000004583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PMID: 42504585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A9557E" w:rsidRDefault="00EF53A4" w:rsidP="00311E11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114</w:t>
      </w:r>
      <w:r w:rsidR="00311E11" w:rsidRPr="00A9557E">
        <w:rPr>
          <w:rFonts w:ascii="宋体" w:eastAsia="宋体" w:hAnsi="宋体" w:cs="宋体"/>
          <w:b/>
          <w:color w:val="FF0000"/>
          <w:szCs w:val="24"/>
        </w:rPr>
        <w:t>. Cureus. 2026 Jun 26;18(6):e111577. doi: 10.7759/c</w:t>
      </w:r>
      <w:r w:rsidR="00A9557E" w:rsidRPr="00A9557E">
        <w:rPr>
          <w:rFonts w:ascii="宋体" w:eastAsia="宋体" w:hAnsi="宋体" w:cs="宋体"/>
          <w:b/>
          <w:color w:val="FF0000"/>
          <w:szCs w:val="24"/>
        </w:rPr>
        <w:t xml:space="preserve">ureus.111577. eCollection 2026 </w:t>
      </w:r>
      <w:r w:rsidR="00311E11" w:rsidRPr="00A9557E">
        <w:rPr>
          <w:rFonts w:ascii="宋体" w:eastAsia="宋体" w:hAnsi="宋体" w:cs="宋体"/>
          <w:b/>
          <w:color w:val="FF0000"/>
          <w:szCs w:val="24"/>
        </w:rPr>
        <w:t>Jun.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Probable Primary Adrenal Insufficiency Associated With Granulomatous Adrenal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Calcifications, Non-tuberculous Mycobacterial Ileitis, and Crohn's Disease: A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Case Report.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Lozano Dubernard GM Sr(1), Ruíz López PJ(1), Aguiar Hernández FI(1), López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Gutiérrez J(1).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(1)General Surgery, Hospital Ángeles Pedregal, Mexico City, MEX.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Granulomatous adrenal involvement is an uncommon cause of primary adrenal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dysfunction, while intestinal non-tuberculous mycobacterial (NTM) infection and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Crohn's disease share substantial clinical, endoscopic, radiological, and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histopathological overlap. The coexistence of these entities represents an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exceptional diagnostic challenge, and epidemiological data regarding their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association are currently lacking. We report the case of a 61-year-old man who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presented with progressive cutaneous hyperpigmentation. Computed tomography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demonstrated bilateral adrenal calcifications, calcified lymph nodes suggestive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of granulomatous disease, and a calcified hepatic granuloma. Biochemical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evaluation revealed markedly elevated adrenocorticotropic hormone (ACTH) levels,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while morning cortisol and aldosterone.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Copyright © 2026, Lozano Dubernard et al.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DOI: 10.7759/cureus.111577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PMCID: PMC13401995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PMID: 42504366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A9557E" w:rsidRDefault="00EF53A4" w:rsidP="00311E11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115</w:t>
      </w:r>
      <w:r w:rsidR="00311E11" w:rsidRPr="00A9557E">
        <w:rPr>
          <w:rFonts w:ascii="宋体" w:eastAsia="宋体" w:hAnsi="宋体" w:cs="宋体"/>
          <w:b/>
          <w:color w:val="FF0000"/>
          <w:szCs w:val="24"/>
        </w:rPr>
        <w:t>. Mucosal Immunol. 2026 Jul 26:100391. doi: 10.101</w:t>
      </w:r>
      <w:r w:rsidR="00A9557E">
        <w:rPr>
          <w:rFonts w:ascii="宋体" w:eastAsia="宋体" w:hAnsi="宋体" w:cs="宋体"/>
          <w:b/>
          <w:color w:val="FF0000"/>
          <w:szCs w:val="24"/>
        </w:rPr>
        <w:t xml:space="preserve">6/j.mucimm.2026.100391. Online </w:t>
      </w:r>
      <w:r w:rsidR="00311E11" w:rsidRPr="00A9557E">
        <w:rPr>
          <w:rFonts w:ascii="宋体" w:eastAsia="宋体" w:hAnsi="宋体" w:cs="宋体"/>
          <w:b/>
          <w:color w:val="FF0000"/>
          <w:szCs w:val="24"/>
        </w:rPr>
        <w:t>ahead of print.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Mucosal BCG vaccination reprograms lung interstitial macrophages and enhances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antimicrobial defense in mice.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Forde AJ(1), Esposito M(2), Kerschbamer E(2), Schreiner D(2), Moreo E(2),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Pantouloufos N(2), Camarasa TMN(2), de Lima J(2), Soliman H(2), Erber M(2),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Depew CE(2), Naderi W(2), King CG(3).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(1)Infection Immunology Laboratory, Department of Biomedicine, University of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Basel, Basel, CH 4058, Switzerland. Electronic address: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aaronjames.forde@unibas.ch.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(2)Infection Immunology Laboratory, Department of Biomedicine, University of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Basel, Basel, CH 4058, Switzerland.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(3)Infection Immunology Laboratory, Department of Biomedicine, University of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Basel, Basel, CH 4058, Switzerland. Electronic address: carolyn.king@unibas.ch.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Bacille Calmette-Guérin (BCG) is the only licensed vaccine against tuberculosis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(TB) but provides inconsistent protection against disease. Alveolar macrophages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(AM) are widely considered the primary myeloid mediators of BCG-induced lung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immunity, whereas the contribution of lung interstitial macrophages (IM) remains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poorly defined. Here, we investigated pulmonary macrophage remodeling following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BCG vaccination delivered by three distinct routes in mice, using flow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cytometry, single cell RNA sequencing and spatial transcriptomics. We show that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the route of vaccine administration dictates which macrophage subset is rewired.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Intratracheal (IT) BCG preferentially reprograms IM, which form spatially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organized immune hubs with CD4 T cells, while AM retain a transcriptional state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closer to homeostasis. In contrast, intravenous (IV) BCG induces transcriptional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remodeling of AM. Importantly, IT BCG conferred superior protection against both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Mycobacterium tuberculosis and the heterologous pathogen Pseudomonas aeruginosa.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Collectively, these findings identify IM as key mediators of mucosal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 xml:space="preserve">vaccine-induced protection and highlight macrophage subset targeting as a 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framework for optimizing vaccines against respiratory pathogens.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Copyright © 2026. Published by Elsevier Inc.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DOI: 10.1016/j.mucimm.2026.100391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  <w:r w:rsidRPr="00311E11">
        <w:rPr>
          <w:rFonts w:ascii="宋体" w:eastAsia="宋体" w:hAnsi="宋体" w:cs="宋体"/>
          <w:color w:val="000000" w:themeColor="text1"/>
          <w:szCs w:val="24"/>
        </w:rPr>
        <w:t>PMID: 42503329</w:t>
      </w:r>
    </w:p>
    <w:p w:rsidR="00311E11" w:rsidRP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1B6D0A" w:rsidRPr="003E7A68" w:rsidRDefault="003E7A68" w:rsidP="001B6D0A">
      <w:pPr>
        <w:pStyle w:val="a3"/>
        <w:rPr>
          <w:rFonts w:hAnsi="宋体" w:cs="宋体"/>
          <w:b/>
          <w:color w:val="FF0000"/>
        </w:rPr>
      </w:pPr>
      <w:r w:rsidRPr="003E7A68">
        <w:rPr>
          <w:rFonts w:hAnsi="宋体" w:cs="宋体"/>
          <w:b/>
          <w:color w:val="FF0000"/>
        </w:rPr>
        <w:t>116</w:t>
      </w:r>
      <w:r w:rsidR="001B6D0A" w:rsidRPr="003E7A68">
        <w:rPr>
          <w:rFonts w:hAnsi="宋体" w:cs="宋体"/>
          <w:b/>
          <w:color w:val="FF0000"/>
        </w:rPr>
        <w:t xml:space="preserve">. Eur Respir J. 2026 Jul 30:2600989. doi: 10.1183/13993003.00989-2026. Online </w:t>
      </w:r>
    </w:p>
    <w:p w:rsidR="001B6D0A" w:rsidRPr="003E7A68" w:rsidRDefault="001B6D0A" w:rsidP="001B6D0A">
      <w:pPr>
        <w:pStyle w:val="a3"/>
        <w:rPr>
          <w:rFonts w:hAnsi="宋体" w:cs="宋体"/>
          <w:b/>
          <w:color w:val="FF0000"/>
        </w:rPr>
      </w:pPr>
      <w:r w:rsidRPr="003E7A68">
        <w:rPr>
          <w:rFonts w:hAnsi="宋体" w:cs="宋体"/>
          <w:b/>
          <w:color w:val="FF0000"/>
        </w:rPr>
        <w:t>ahead of print.</w:t>
      </w:r>
    </w:p>
    <w:p w:rsidR="001B6D0A" w:rsidRPr="00D06EDD" w:rsidRDefault="001B6D0A" w:rsidP="001B6D0A">
      <w:pPr>
        <w:pStyle w:val="a3"/>
        <w:rPr>
          <w:rFonts w:hAnsi="宋体" w:cs="宋体"/>
        </w:rPr>
      </w:pPr>
    </w:p>
    <w:p w:rsidR="001B6D0A" w:rsidRPr="00D06EDD" w:rsidRDefault="001B6D0A" w:rsidP="001B6D0A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Prioritizing research topics identified by end-users for a successful and rapid </w:t>
      </w:r>
    </w:p>
    <w:p w:rsidR="001B6D0A" w:rsidRPr="00D06EDD" w:rsidRDefault="001B6D0A" w:rsidP="001B6D0A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>uptake of new tuberculosis treatment regimens.</w:t>
      </w:r>
    </w:p>
    <w:p w:rsidR="001B6D0A" w:rsidRPr="00D06EDD" w:rsidRDefault="001B6D0A" w:rsidP="001B6D0A">
      <w:pPr>
        <w:pStyle w:val="a3"/>
        <w:rPr>
          <w:rFonts w:hAnsi="宋体" w:cs="宋体"/>
        </w:rPr>
      </w:pPr>
    </w:p>
    <w:p w:rsidR="001B6D0A" w:rsidRPr="00D06EDD" w:rsidRDefault="001B6D0A" w:rsidP="001B6D0A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Bellavia A(1)(2), Refera TA(3)(2), D'Ambrosio L(4)(2), Centis R(5)(2), Akkerman </w:t>
      </w:r>
    </w:p>
    <w:p w:rsidR="001B6D0A" w:rsidRPr="00D06EDD" w:rsidRDefault="001B6D0A" w:rsidP="001B6D0A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O(6)(7), Alyaquobi F(8), Burhan E(9), Dinh-Xuan AT(10), Felker I(11), </w:t>
      </w:r>
    </w:p>
    <w:p w:rsidR="001B6D0A" w:rsidRPr="00D06EDD" w:rsidRDefault="001B6D0A" w:rsidP="001B6D0A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García-García JM(12), Gualano G(13), James A(14), Shah SK(15), Kherabi </w:t>
      </w:r>
    </w:p>
    <w:p w:rsidR="001B6D0A" w:rsidRPr="00D06EDD" w:rsidRDefault="001B6D0A" w:rsidP="001B6D0A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Y(16)(17), Li Y(18), Lienhardt C(19), Mahfuza R(20), Munoz-Torrico M(21), Ong </w:t>
      </w:r>
    </w:p>
    <w:p w:rsidR="001B6D0A" w:rsidRPr="00D06EDD" w:rsidRDefault="001B6D0A" w:rsidP="001B6D0A">
      <w:pPr>
        <w:pStyle w:val="a3"/>
        <w:rPr>
          <w:rFonts w:hAnsi="宋体" w:cs="宋体"/>
        </w:rPr>
      </w:pPr>
      <w:r w:rsidRPr="00D06EDD">
        <w:rPr>
          <w:rFonts w:hAnsi="宋体" w:cs="宋体"/>
        </w:rPr>
        <w:lastRenderedPageBreak/>
        <w:t xml:space="preserve">CWM(22)(23), Panchagnula R(24), Piubello A(25), Podlekareva D(26)(27), Pontali </w:t>
      </w:r>
    </w:p>
    <w:p w:rsidR="001B6D0A" w:rsidRPr="00D06EDD" w:rsidRDefault="001B6D0A" w:rsidP="001B6D0A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E(28), Rangaka MX(29), Rasheed N(30), Rendon A(31), Silva DR(32), Selim MAH(33), </w:t>
      </w:r>
    </w:p>
    <w:p w:rsidR="001B6D0A" w:rsidRPr="00D06EDD" w:rsidRDefault="001B6D0A" w:rsidP="001B6D0A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Seaworth B(34), Tadolini M(35), Tiberi S(36), Villa S(37), Villanueva CA(38), </w:t>
      </w:r>
    </w:p>
    <w:p w:rsidR="001B6D0A" w:rsidRPr="00D06EDD" w:rsidRDefault="001B6D0A" w:rsidP="001B6D0A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Raviglione MC(39)(40)(41), Migliori GB(42)(2); Global Tuberculosis Network and </w:t>
      </w:r>
    </w:p>
    <w:p w:rsidR="001B6D0A" w:rsidRPr="00D06EDD" w:rsidRDefault="001B6D0A" w:rsidP="001B6D0A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>FAST-TB End-User Survey Group.</w:t>
      </w:r>
    </w:p>
    <w:p w:rsidR="001B6D0A" w:rsidRPr="00D06EDD" w:rsidRDefault="001B6D0A" w:rsidP="001B6D0A">
      <w:pPr>
        <w:pStyle w:val="a3"/>
        <w:rPr>
          <w:rFonts w:hAnsi="宋体" w:cs="宋体"/>
        </w:rPr>
      </w:pPr>
    </w:p>
    <w:p w:rsidR="001B6D0A" w:rsidRPr="00D06EDD" w:rsidRDefault="001B6D0A" w:rsidP="001B6D0A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>Author information:</w:t>
      </w:r>
    </w:p>
    <w:p w:rsidR="001B6D0A" w:rsidRPr="00D06EDD" w:rsidRDefault="001B6D0A" w:rsidP="001B6D0A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(1)Deparment of Health Promotion Mother and Child Care, Internal Medicine, </w:t>
      </w:r>
    </w:p>
    <w:p w:rsidR="001B6D0A" w:rsidRPr="00D06EDD" w:rsidRDefault="001B6D0A" w:rsidP="001B6D0A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>University of Palermo; U.O.C. Astanteria/MCAU, Paolo Giaccone, Palermo, Italy.</w:t>
      </w:r>
    </w:p>
    <w:p w:rsidR="001B6D0A" w:rsidRPr="00D06EDD" w:rsidRDefault="001B6D0A" w:rsidP="001B6D0A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>(2)Equally contributed.</w:t>
      </w:r>
    </w:p>
    <w:p w:rsidR="001B6D0A" w:rsidRPr="00D06EDD" w:rsidRDefault="001B6D0A" w:rsidP="001B6D0A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>(3)St. Mary Catholic Primary Hospital, Dubbo, Areka, Ethiopia.</w:t>
      </w:r>
    </w:p>
    <w:p w:rsidR="001B6D0A" w:rsidRPr="00D06EDD" w:rsidRDefault="001B6D0A" w:rsidP="001B6D0A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>(4)Public Health Consulting Group, Lugano, Switzerland.</w:t>
      </w:r>
    </w:p>
    <w:p w:rsidR="001B6D0A" w:rsidRPr="00D06EDD" w:rsidRDefault="001B6D0A" w:rsidP="001B6D0A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(5)Servizio di Epidemiologia Clinica delle Malattie Respiratorie, Istituti </w:t>
      </w:r>
    </w:p>
    <w:p w:rsidR="001B6D0A" w:rsidRPr="00D06EDD" w:rsidRDefault="001B6D0A" w:rsidP="001B6D0A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>Clinici Scientifici Maugeri, IRCCS, Tradate, Italy.</w:t>
      </w:r>
    </w:p>
    <w:p w:rsidR="001B6D0A" w:rsidRPr="00D06EDD" w:rsidRDefault="001B6D0A" w:rsidP="001B6D0A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(6)University of Groningen, University Medical Center Groningen, TB Center </w:t>
      </w:r>
    </w:p>
    <w:p w:rsidR="001B6D0A" w:rsidRPr="00D06EDD" w:rsidRDefault="001B6D0A" w:rsidP="001B6D0A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>Beatrixoord, Groningen, Netherlands.</w:t>
      </w:r>
    </w:p>
    <w:p w:rsidR="001B6D0A" w:rsidRPr="00D06EDD" w:rsidRDefault="001B6D0A" w:rsidP="001B6D0A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(7)University of Groningen, University Medical Center Groningen, Department of </w:t>
      </w:r>
    </w:p>
    <w:p w:rsidR="001B6D0A" w:rsidRPr="00D06EDD" w:rsidRDefault="001B6D0A" w:rsidP="001B6D0A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>Pulmonary diseases and Tuberculosis, Groningen, Netherlands.</w:t>
      </w:r>
    </w:p>
    <w:p w:rsidR="001B6D0A" w:rsidRPr="00D06EDD" w:rsidRDefault="001B6D0A" w:rsidP="001B6D0A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(8)TB and Acute Respiratory Diseases Section, Department of Communicable </w:t>
      </w:r>
    </w:p>
    <w:p w:rsidR="001B6D0A" w:rsidRPr="00D06EDD" w:rsidRDefault="001B6D0A" w:rsidP="001B6D0A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Diseases, Center for Disease Surveillance and Prevention, Ministry of Health, </w:t>
      </w:r>
    </w:p>
    <w:p w:rsidR="001B6D0A" w:rsidRPr="00D06EDD" w:rsidRDefault="001B6D0A" w:rsidP="001B6D0A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>Oman.</w:t>
      </w:r>
    </w:p>
    <w:p w:rsidR="001B6D0A" w:rsidRPr="00D06EDD" w:rsidRDefault="001B6D0A" w:rsidP="001B6D0A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(9)Department of Pulmonology and Respiratory Medicine, Faculty of Medicine, </w:t>
      </w:r>
    </w:p>
    <w:p w:rsidR="001B6D0A" w:rsidRPr="00D06EDD" w:rsidRDefault="001B6D0A" w:rsidP="001B6D0A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>University of Indonesia, Manila, Indonesia.</w:t>
      </w:r>
    </w:p>
    <w:p w:rsidR="001B6D0A" w:rsidRPr="00D06EDD" w:rsidRDefault="001B6D0A" w:rsidP="001B6D0A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(10)Department of Respiratory and Sleep Medicine, Université Paris Cité, INSERM </w:t>
      </w:r>
    </w:p>
    <w:p w:rsidR="001B6D0A" w:rsidRPr="00D06EDD" w:rsidRDefault="001B6D0A" w:rsidP="001B6D0A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>UMR1373, AP-HP, Cochin Hospital, Paris, France.</w:t>
      </w:r>
    </w:p>
    <w:p w:rsidR="001B6D0A" w:rsidRPr="00D06EDD" w:rsidRDefault="001B6D0A" w:rsidP="001B6D0A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(11)Department of Phthisiopulmonology, Novosibirsk State Medical University, </w:t>
      </w:r>
    </w:p>
    <w:p w:rsidR="001B6D0A" w:rsidRPr="00D06EDD" w:rsidRDefault="001B6D0A" w:rsidP="001B6D0A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>Novosibirsk, Russia.</w:t>
      </w:r>
    </w:p>
    <w:p w:rsidR="001B6D0A" w:rsidRPr="00D06EDD" w:rsidRDefault="001B6D0A" w:rsidP="001B6D0A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>(12)Tuberculosis Research Programme SEPAR, Barcelona. Spain.</w:t>
      </w:r>
    </w:p>
    <w:p w:rsidR="001B6D0A" w:rsidRPr="00D06EDD" w:rsidRDefault="001B6D0A" w:rsidP="001B6D0A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(13)National Institute for Infectious Diseases (INMI) 'L. Spallanzani' IRCCS, </w:t>
      </w:r>
    </w:p>
    <w:p w:rsidR="001B6D0A" w:rsidRPr="00D06EDD" w:rsidRDefault="001B6D0A" w:rsidP="001B6D0A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>Rome, Italy.</w:t>
      </w:r>
    </w:p>
    <w:p w:rsidR="001B6D0A" w:rsidRPr="00D06EDD" w:rsidRDefault="001B6D0A" w:rsidP="001B6D0A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(14)Department of Public Health, Erasmus MC, University Medical Center </w:t>
      </w:r>
    </w:p>
    <w:p w:rsidR="001B6D0A" w:rsidRPr="00D06EDD" w:rsidRDefault="001B6D0A" w:rsidP="001B6D0A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>Rotterdam, Rotterdam, Netherlands.</w:t>
      </w:r>
    </w:p>
    <w:p w:rsidR="001B6D0A" w:rsidRPr="00D06EDD" w:rsidRDefault="001B6D0A" w:rsidP="001B6D0A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>(15)Dopasi Foundation, Islamabad, Pakistan.</w:t>
      </w:r>
    </w:p>
    <w:p w:rsidR="001B6D0A" w:rsidRPr="00D06EDD" w:rsidRDefault="001B6D0A" w:rsidP="001B6D0A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(16)Infectious and Tropical Diseases Department, Bichat-Claude Bernard Hospital, </w:t>
      </w:r>
    </w:p>
    <w:p w:rsidR="001B6D0A" w:rsidRPr="00D06EDD" w:rsidRDefault="001B6D0A" w:rsidP="001B6D0A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>Assistance Publique Hôpitaux de Paris, Université Paris Cité, Paris, France.</w:t>
      </w:r>
    </w:p>
    <w:p w:rsidR="001B6D0A" w:rsidRPr="00D06EDD" w:rsidRDefault="001B6D0A" w:rsidP="001B6D0A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>(17)Université Paris Cité, Inserm, IAME, Paris, France.</w:t>
      </w:r>
    </w:p>
    <w:p w:rsidR="001B6D0A" w:rsidRPr="00D06EDD" w:rsidRDefault="001B6D0A" w:rsidP="001B6D0A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(18)Department of Infectious Diseases, Huashan Hospital, Fudan University, </w:t>
      </w:r>
    </w:p>
    <w:p w:rsidR="001B6D0A" w:rsidRPr="00D06EDD" w:rsidRDefault="001B6D0A" w:rsidP="001B6D0A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>Shanghai, China.</w:t>
      </w:r>
    </w:p>
    <w:p w:rsidR="001B6D0A" w:rsidRPr="00D06EDD" w:rsidRDefault="001B6D0A" w:rsidP="001B6D0A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(19)French Institute for Research on Sustainable Development (IRD), Montpellier, </w:t>
      </w:r>
    </w:p>
    <w:p w:rsidR="001B6D0A" w:rsidRPr="00D06EDD" w:rsidRDefault="001B6D0A" w:rsidP="001B6D0A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>France.</w:t>
      </w:r>
    </w:p>
    <w:p w:rsidR="001B6D0A" w:rsidRPr="00D06EDD" w:rsidRDefault="001B6D0A" w:rsidP="001B6D0A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>(20)Damien Foundation, Dhaka, Bangladesh.</w:t>
      </w:r>
    </w:p>
    <w:p w:rsidR="001B6D0A" w:rsidRPr="00D06EDD" w:rsidRDefault="001B6D0A" w:rsidP="001B6D0A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(21)Clínica de Tuberculosis, Instituto Nacional de Enfermedades Respiratorias </w:t>
      </w:r>
    </w:p>
    <w:p w:rsidR="001B6D0A" w:rsidRPr="00D06EDD" w:rsidRDefault="001B6D0A" w:rsidP="001B6D0A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>Ismael Cosio Villegas, Mexico City, Mexico.</w:t>
      </w:r>
    </w:p>
    <w:p w:rsidR="001B6D0A" w:rsidRPr="00D06EDD" w:rsidRDefault="001B6D0A" w:rsidP="001B6D0A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(22)Infectious Diseases Translational Research Programme, Department of </w:t>
      </w:r>
    </w:p>
    <w:p w:rsidR="001B6D0A" w:rsidRPr="00D06EDD" w:rsidRDefault="001B6D0A" w:rsidP="001B6D0A">
      <w:pPr>
        <w:pStyle w:val="a3"/>
        <w:rPr>
          <w:rFonts w:hAnsi="宋体" w:cs="宋体"/>
        </w:rPr>
      </w:pPr>
      <w:r w:rsidRPr="00D06EDD">
        <w:rPr>
          <w:rFonts w:hAnsi="宋体" w:cs="宋体"/>
        </w:rPr>
        <w:lastRenderedPageBreak/>
        <w:t xml:space="preserve">Medicine, Yong Loo Lin School of Medicine, National University of Singapore, </w:t>
      </w:r>
    </w:p>
    <w:p w:rsidR="001B6D0A" w:rsidRPr="00D06EDD" w:rsidRDefault="001B6D0A" w:rsidP="001B6D0A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>Singapore.</w:t>
      </w:r>
    </w:p>
    <w:p w:rsidR="001B6D0A" w:rsidRPr="00D06EDD" w:rsidRDefault="001B6D0A" w:rsidP="001B6D0A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(23)Institute for Health Innovation &amp; Technology (iHealthtech), National </w:t>
      </w:r>
    </w:p>
    <w:p w:rsidR="001B6D0A" w:rsidRPr="00D06EDD" w:rsidRDefault="001B6D0A" w:rsidP="001B6D0A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>University of Singapore, Singapore.</w:t>
      </w:r>
    </w:p>
    <w:p w:rsidR="001B6D0A" w:rsidRPr="00D06EDD" w:rsidRDefault="001B6D0A" w:rsidP="001B6D0A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>(24)Independent Tuberculosis Consultant, Hyderabad, India.</w:t>
      </w:r>
    </w:p>
    <w:p w:rsidR="001B6D0A" w:rsidRPr="00D06EDD" w:rsidRDefault="001B6D0A" w:rsidP="001B6D0A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>(25)Damien Foundation, Brussels, Belgium.</w:t>
      </w:r>
    </w:p>
    <w:p w:rsidR="001B6D0A" w:rsidRPr="00D06EDD" w:rsidRDefault="001B6D0A" w:rsidP="001B6D0A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(26)International Reference Laboratory of mycobacteriology (IRLM), Statens Serum </w:t>
      </w:r>
    </w:p>
    <w:p w:rsidR="001B6D0A" w:rsidRPr="00D06EDD" w:rsidRDefault="001B6D0A" w:rsidP="001B6D0A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>Institut, Copenhagen, Denmark.</w:t>
      </w:r>
    </w:p>
    <w:p w:rsidR="001B6D0A" w:rsidRPr="00D06EDD" w:rsidRDefault="001B6D0A" w:rsidP="001B6D0A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(27)Department of Respiratory medicine and Infectious Diseases, Copenhagen </w:t>
      </w:r>
    </w:p>
    <w:p w:rsidR="001B6D0A" w:rsidRPr="00D06EDD" w:rsidRDefault="001B6D0A" w:rsidP="001B6D0A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>University Hospital, Bispebjerg, Denmark.</w:t>
      </w:r>
    </w:p>
    <w:p w:rsidR="001B6D0A" w:rsidRPr="00D06EDD" w:rsidRDefault="001B6D0A" w:rsidP="001B6D0A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>(28)Department of Infectious Diseases, Galliera Hospital, Genova, Italy.</w:t>
      </w:r>
    </w:p>
    <w:p w:rsidR="001B6D0A" w:rsidRPr="00D06EDD" w:rsidRDefault="001B6D0A" w:rsidP="001B6D0A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>(29)University College London (UCL), London, United Kingdom.</w:t>
      </w:r>
    </w:p>
    <w:p w:rsidR="001B6D0A" w:rsidRPr="00D06EDD" w:rsidRDefault="001B6D0A" w:rsidP="001B6D0A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>(30)National Tuberculosis Programme, Libya.</w:t>
      </w:r>
    </w:p>
    <w:p w:rsidR="001B6D0A" w:rsidRPr="00D06EDD" w:rsidRDefault="001B6D0A" w:rsidP="001B6D0A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(31)Centro de Investigacion Prevencion y Tratamiento de Infecciones </w:t>
      </w:r>
    </w:p>
    <w:p w:rsidR="001B6D0A" w:rsidRPr="00D06EDD" w:rsidRDefault="001B6D0A" w:rsidP="001B6D0A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Respiratorias (CIPTIR), Hospital Universitario "Dr. Jose Eleuterio Gonzalez", </w:t>
      </w:r>
    </w:p>
    <w:p w:rsidR="001B6D0A" w:rsidRPr="00D06EDD" w:rsidRDefault="001B6D0A" w:rsidP="001B6D0A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>Universidad Autónoma de Nuevo León, Monterrey, Mexico.</w:t>
      </w:r>
    </w:p>
    <w:p w:rsidR="001B6D0A" w:rsidRPr="00D06EDD" w:rsidRDefault="001B6D0A" w:rsidP="001B6D0A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(32)Faculdade de Medicina, Universidade Federal do Rio Grande do Sul, Porto </w:t>
      </w:r>
    </w:p>
    <w:p w:rsidR="001B6D0A" w:rsidRPr="00D06EDD" w:rsidRDefault="001B6D0A" w:rsidP="001B6D0A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>Alegre, Brazil.</w:t>
      </w:r>
    </w:p>
    <w:p w:rsidR="001B6D0A" w:rsidRPr="00D06EDD" w:rsidRDefault="001B6D0A" w:rsidP="001B6D0A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>(33)NTP Bangladesh Department of State (DoS) LEAP Global Project.</w:t>
      </w:r>
    </w:p>
    <w:p w:rsidR="001B6D0A" w:rsidRPr="00D06EDD" w:rsidRDefault="001B6D0A" w:rsidP="001B6D0A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(34)Infectious Disease, University of Texas Health Science Center, Tyler, </w:t>
      </w:r>
    </w:p>
    <w:p w:rsidR="001B6D0A" w:rsidRPr="00D06EDD" w:rsidRDefault="001B6D0A" w:rsidP="001B6D0A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>Heartland National TB Center, San Antonio, Texas, USA.</w:t>
      </w:r>
    </w:p>
    <w:p w:rsidR="001B6D0A" w:rsidRPr="00D06EDD" w:rsidRDefault="001B6D0A" w:rsidP="001B6D0A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(35)Unit of Infectious Diseases-IRCCS Azienda Ospedaliero-Universitaria di </w:t>
      </w:r>
    </w:p>
    <w:p w:rsidR="001B6D0A" w:rsidRPr="00D06EDD" w:rsidRDefault="001B6D0A" w:rsidP="001B6D0A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Bologna; Department of Medical and Surgical Sciences - Alma Mater Studiorum, </w:t>
      </w:r>
    </w:p>
    <w:p w:rsidR="001B6D0A" w:rsidRPr="00D06EDD" w:rsidRDefault="001B6D0A" w:rsidP="001B6D0A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>University of Bologna, Bologna, Italy.</w:t>
      </w:r>
    </w:p>
    <w:p w:rsidR="001B6D0A" w:rsidRPr="00D06EDD" w:rsidRDefault="001B6D0A" w:rsidP="001B6D0A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(36)Blizard Institute, Barts and The London School of Medicine and Dentistry, </w:t>
      </w:r>
    </w:p>
    <w:p w:rsidR="001B6D0A" w:rsidRPr="00D06EDD" w:rsidRDefault="001B6D0A" w:rsidP="001B6D0A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>Queen Mary University of London, London, United Kingdom.</w:t>
      </w:r>
    </w:p>
    <w:p w:rsidR="001B6D0A" w:rsidRPr="00D06EDD" w:rsidRDefault="001B6D0A" w:rsidP="001B6D0A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(37)Department Biomedical Sciences for Health, School of Public Health, </w:t>
      </w:r>
    </w:p>
    <w:p w:rsidR="001B6D0A" w:rsidRPr="00D06EDD" w:rsidRDefault="001B6D0A" w:rsidP="001B6D0A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>University of Milan, Milan, Italy.</w:t>
      </w:r>
    </w:p>
    <w:p w:rsidR="001B6D0A" w:rsidRPr="00D06EDD" w:rsidRDefault="001B6D0A" w:rsidP="001B6D0A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(38)Division of Pulmonary Medicine, Department of Medicine, Philippine General </w:t>
      </w:r>
    </w:p>
    <w:p w:rsidR="001B6D0A" w:rsidRPr="00D06EDD" w:rsidRDefault="001B6D0A" w:rsidP="001B6D0A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>Hospital, University of the Philippines Manila.</w:t>
      </w:r>
    </w:p>
    <w:p w:rsidR="001B6D0A" w:rsidRPr="00D06EDD" w:rsidRDefault="001B6D0A" w:rsidP="001B6D0A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(39)MAGH (Multidisciplinary Action in Global Health) Centre, University of </w:t>
      </w:r>
    </w:p>
    <w:p w:rsidR="001B6D0A" w:rsidRPr="00D06EDD" w:rsidRDefault="001B6D0A" w:rsidP="001B6D0A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>Milan, Milan, Italy.</w:t>
      </w:r>
    </w:p>
    <w:p w:rsidR="001B6D0A" w:rsidRPr="00D06EDD" w:rsidRDefault="001B6D0A" w:rsidP="001B6D0A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(40)The Immunobiology Centre, Blizard Institute Queen Mary University of London, </w:t>
      </w:r>
    </w:p>
    <w:p w:rsidR="001B6D0A" w:rsidRPr="00D06EDD" w:rsidRDefault="001B6D0A" w:rsidP="001B6D0A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>London, United Kingdom.</w:t>
      </w:r>
    </w:p>
    <w:p w:rsidR="001B6D0A" w:rsidRPr="00D06EDD" w:rsidRDefault="001B6D0A" w:rsidP="001B6D0A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>(41)International Agency for Research on Cancer, Lyon, France.</w:t>
      </w:r>
    </w:p>
    <w:p w:rsidR="001B6D0A" w:rsidRPr="00D06EDD" w:rsidRDefault="001B6D0A" w:rsidP="001B6D0A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(42)Servizio di Epidemiologia Clinica delle Malattie Respiratorie, Istituti </w:t>
      </w:r>
    </w:p>
    <w:p w:rsidR="001B6D0A" w:rsidRPr="00D06EDD" w:rsidRDefault="001B6D0A" w:rsidP="001B6D0A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Clinici Scientifici Maugeri, IRCCS, Tradate, Italy </w:t>
      </w:r>
    </w:p>
    <w:p w:rsidR="001B6D0A" w:rsidRPr="00D06EDD" w:rsidRDefault="001B6D0A" w:rsidP="001B6D0A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>giovannibattista.migliori@icsmaugeri.it.</w:t>
      </w:r>
    </w:p>
    <w:p w:rsidR="001B6D0A" w:rsidRPr="00D06EDD" w:rsidRDefault="001B6D0A" w:rsidP="001B6D0A">
      <w:pPr>
        <w:pStyle w:val="a3"/>
        <w:rPr>
          <w:rFonts w:hAnsi="宋体" w:cs="宋体"/>
        </w:rPr>
      </w:pPr>
    </w:p>
    <w:p w:rsidR="001B6D0A" w:rsidRPr="00D06EDD" w:rsidRDefault="001B6D0A" w:rsidP="001B6D0A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>DOI: 10.1183/13993003.00989-2026</w:t>
      </w:r>
    </w:p>
    <w:p w:rsidR="001B6D0A" w:rsidRDefault="001B6D0A" w:rsidP="001B6D0A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>PMID: 42532544</w:t>
      </w:r>
    </w:p>
    <w:p w:rsidR="00311E11" w:rsidRDefault="00311E11" w:rsidP="00311E11">
      <w:pPr>
        <w:rPr>
          <w:rFonts w:ascii="宋体" w:eastAsia="宋体" w:hAnsi="宋体" w:cs="宋体"/>
          <w:color w:val="000000" w:themeColor="text1"/>
          <w:szCs w:val="24"/>
        </w:rPr>
      </w:pPr>
    </w:p>
    <w:p w:rsidR="00C55CB5" w:rsidRPr="003E7A68" w:rsidRDefault="003E7A68" w:rsidP="00C55CB5">
      <w:pPr>
        <w:pStyle w:val="a3"/>
        <w:rPr>
          <w:rFonts w:hAnsi="宋体" w:cs="宋体"/>
          <w:b/>
          <w:color w:val="FF0000"/>
        </w:rPr>
      </w:pPr>
      <w:r w:rsidRPr="003E7A68">
        <w:rPr>
          <w:rFonts w:hAnsi="宋体" w:cs="宋体"/>
          <w:b/>
          <w:color w:val="FF0000"/>
        </w:rPr>
        <w:t>117</w:t>
      </w:r>
      <w:r w:rsidR="00C55CB5" w:rsidRPr="003E7A68">
        <w:rPr>
          <w:rFonts w:hAnsi="宋体" w:cs="宋体"/>
          <w:b/>
          <w:color w:val="FF0000"/>
        </w:rPr>
        <w:t>. Lancet Microbe. 2027 Apr 26:101442. doi: 10.1016/j.lanmic.2026.101442. Online ahead of print.</w:t>
      </w:r>
    </w:p>
    <w:p w:rsidR="00C55CB5" w:rsidRPr="00C1344E" w:rsidRDefault="00C55CB5" w:rsidP="00C55CB5">
      <w:pPr>
        <w:pStyle w:val="a3"/>
        <w:rPr>
          <w:rFonts w:hAnsi="宋体" w:cs="宋体"/>
        </w:rPr>
      </w:pP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Advances in tuberculosis treatment: novel regimens, new drug pipelines,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>host-directed therapies, and updated management guidelines.</w:t>
      </w:r>
    </w:p>
    <w:p w:rsidR="00C55CB5" w:rsidRPr="00C1344E" w:rsidRDefault="00C55CB5" w:rsidP="00C55CB5">
      <w:pPr>
        <w:pStyle w:val="a3"/>
        <w:rPr>
          <w:rFonts w:hAnsi="宋体" w:cs="宋体"/>
        </w:rPr>
      </w:pP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Marais BJ(1), Goletti D(2), McHugh TD(3), Tiberi S(4), Aklillu E(5), Yeboah-Manu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D(6), Mfinanga S(7), Zumla A(8), Ahmed R(8), Hasan T(1), Nyasulu PS(9), Chakaya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>J(10), Ntoumi F(11), Walzl G(12), Hui DS(13), Zumla A(14).</w:t>
      </w:r>
    </w:p>
    <w:p w:rsidR="00C55CB5" w:rsidRPr="00C1344E" w:rsidRDefault="00C55CB5" w:rsidP="00C55CB5">
      <w:pPr>
        <w:pStyle w:val="a3"/>
        <w:rPr>
          <w:rFonts w:hAnsi="宋体" w:cs="宋体"/>
        </w:rPr>
      </w:pP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>Author information: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(1)Sydney Infectious Diseases Institute (Sydney ID) and The Children's Hospital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>at Westmead Clinical School, University of Sydney, Sydney, NSW, Australia.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(2)Translational Research Unit, National Institute for Infectious Diseases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Lazzaro Spallanzani, Istituto di Ricovero e Cura a Carattere Scientifico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>(IRCCS), Rome, Italy.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(3)Centre for Clinical Microbiology, Division of Infection and Immunity,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>University College London, London, UK.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(4)Blizard Institute, Barts and The London School of Medicine and Dentistry,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>Queen Mary University of London, London, UK; GSK Global Health, London, UK.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(5)Department of Global Public Health, Karolinska Institutet, Karolinska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>University Hospital, Stockholm, Sweden.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(6)Department of Bacteriology, The Noguchi Memorial Institute for Medical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>Research, University of Ghana, Accra, Ghana.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(7)National Institute of Medical Research, Muhimbili Medical Research Centre,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>Dar-es-Salaam, Tanzania.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(8)Institute of Medicine, University of Greater Manchester and Respiratory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>Department, Royal Bolton Hospital, Bolton NHS Foundation Trust, Bolton, UK.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(9)Division of Epidemiology and Biostatistics, Department of Global Health,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Faculty of Medicine and Health Sciences, Stellenbosch University, Cape Town,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>South Africa.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(10)Centre for Respiratory Diseases Research, Kenya Medical Research Institute,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>Nairobi, Kenya.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(11)Fondation Congolaise pour la Recherche Médicale, Brazzaville, Republic of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the Congo; Institute of Tropical Medicine, University of Tübingen, Tübingen,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>Germany.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(12)South African Medical Research Council Centre for Tuberculosis Research,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Biomedical Research Institute, Division of Immunology, Faculty of Medicine and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>Health Sciences, Stellenbosch University, Cape Town, South Africa.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(13)Department of Medicine and Therapeutics, The Chinese University of Hong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>Kong, Shatin, New Territories, Hong Kong Special Administrative Region, China.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(14)Center for Clinical Microbiology, Institute of Infection, Immunity and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Transplantation, University College London, London, UK; NIHR Biomedical Research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Centre, University College London Hospitals NHS Foundation Trust, London, UK.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>Electronic address: a.zumla@ucl.ac.uk.</w:t>
      </w:r>
    </w:p>
    <w:p w:rsidR="00C55CB5" w:rsidRPr="00C1344E" w:rsidRDefault="00C55CB5" w:rsidP="00C55CB5">
      <w:pPr>
        <w:pStyle w:val="a3"/>
        <w:rPr>
          <w:rFonts w:hAnsi="宋体" w:cs="宋体"/>
        </w:rPr>
      </w:pP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lastRenderedPageBreak/>
        <w:t xml:space="preserve">Tuberculosis treatment has undergone its most profound transformation since the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launch of the standardised DOTS strategy in 1994. Since 2020, a series of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pivotal randomised trials, including TB-PRACTECAL, ZeNix, Nix-TB, endTB,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BEAT-TB, SHINE, and Study 31/A5349, have redefined the management of both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drug-susceptible and drug-resistant tuberculosis. These studies have enabled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shorter, fully oral regimens with improved efficacy and safety across adult and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paediatric populations, including people with HIV, and have driven major updates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to WHO treatment guidelines. Despite these advances, tuberculosis remains the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leading cause of death from a single infectious agent worldwide, with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substantial mortality occurring before treatment initiation due to delayed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diagnosis and pretreatment loss to follow-up, and additional deaths during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treatment related to advanced disease, drug resistance, comorbidities, and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challenges with treatment tolerance and adherence. In 2024, an estimated 10·7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>million people developed tuberculosis of whom approximately 390</w:t>
      </w:r>
      <w:r w:rsidRPr="00C1344E">
        <w:rPr>
          <w:rFonts w:ascii="MS Gothic" w:eastAsia="MS Gothic" w:hAnsi="MS Gothic" w:cs="MS Gothic" w:hint="eastAsia"/>
        </w:rPr>
        <w:t> </w:t>
      </w:r>
      <w:r w:rsidRPr="00C1344E">
        <w:rPr>
          <w:rFonts w:hAnsi="宋体" w:cs="宋体"/>
        </w:rPr>
        <w:t xml:space="preserve">000 developed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multidrug-resistant (MDR) or rifampicin-resistant (RR) tuberculosis.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Tuberculosis caused an estimated 1·23 million deaths globally, including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>approximately 150</w:t>
      </w:r>
      <w:r w:rsidRPr="00C1344E">
        <w:rPr>
          <w:rFonts w:ascii="MS Gothic" w:eastAsia="MS Gothic" w:hAnsi="MS Gothic" w:cs="MS Gothic" w:hint="eastAsia"/>
        </w:rPr>
        <w:t> </w:t>
      </w:r>
      <w:r w:rsidRPr="00C1344E">
        <w:rPr>
          <w:rFonts w:hAnsi="宋体" w:cs="宋体"/>
        </w:rPr>
        <w:t xml:space="preserve">000 deaths attributable to MDR tuberculosis or RR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tuberculosis. Outcomes remain poorest among people with HIV, young children (who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rarely access treatment and prevention), migrants, and displaced populations.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The tuberculosis drug development pipeline in 2026 is more advanced than at any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time since the introduction of rifampicin. Novel and repurposed compounds,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including DprE1 inhibitors, next-generation oxazolidinones (including TBAJ-587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and TBAJ-876), cytochrome bc1 inhibitors, and long-acting formulations, are in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late-stage evaluation. Host-directed therapies are also advancing as adjunctive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strategies to reduce inflammation-mediated tissue damage and long-term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morbidity, although they remain investigational. This Series paper synthesises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advances in adult and paediatric tuberculosis therapeutics from Nov 15, 2020, to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Jan 15, 2026, and highlights priorities to translate therapeutic innovation into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>equitable population-level effects.</w:t>
      </w:r>
    </w:p>
    <w:p w:rsidR="00C55CB5" w:rsidRPr="00C1344E" w:rsidRDefault="00C55CB5" w:rsidP="00C55CB5">
      <w:pPr>
        <w:pStyle w:val="a3"/>
        <w:rPr>
          <w:rFonts w:hAnsi="宋体" w:cs="宋体"/>
        </w:rPr>
      </w:pP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>Copyright © 2026 The Author(s). Published by Elsevier Ltd.. All rights reserved.</w:t>
      </w:r>
    </w:p>
    <w:p w:rsidR="00C55CB5" w:rsidRPr="00C1344E" w:rsidRDefault="00C55CB5" w:rsidP="00C55CB5">
      <w:pPr>
        <w:pStyle w:val="a3"/>
        <w:rPr>
          <w:rFonts w:hAnsi="宋体" w:cs="宋体"/>
        </w:rPr>
      </w:pP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>DOI: 10.1016/j.lanmic.2026.101442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>PMID: 42526491</w:t>
      </w:r>
    </w:p>
    <w:p w:rsidR="00C55CB5" w:rsidRPr="00C1344E" w:rsidRDefault="00C55CB5" w:rsidP="00C55CB5">
      <w:pPr>
        <w:pStyle w:val="a3"/>
        <w:rPr>
          <w:rFonts w:hAnsi="宋体" w:cs="宋体"/>
        </w:rPr>
      </w:pPr>
    </w:p>
    <w:p w:rsidR="00C55CB5" w:rsidRPr="003E7A68" w:rsidRDefault="003E7A68" w:rsidP="00C55CB5">
      <w:pPr>
        <w:pStyle w:val="a3"/>
        <w:rPr>
          <w:rFonts w:hAnsi="宋体" w:cs="宋体"/>
          <w:b/>
          <w:color w:val="FF0000"/>
        </w:rPr>
      </w:pPr>
      <w:r w:rsidRPr="003E7A68">
        <w:rPr>
          <w:rFonts w:hAnsi="宋体" w:cs="宋体"/>
          <w:b/>
          <w:color w:val="FF0000"/>
        </w:rPr>
        <w:t>118</w:t>
      </w:r>
      <w:r w:rsidR="00C55CB5" w:rsidRPr="003E7A68">
        <w:rPr>
          <w:rFonts w:hAnsi="宋体" w:cs="宋体"/>
          <w:b/>
          <w:color w:val="FF0000"/>
        </w:rPr>
        <w:t>. Lancet Microbe. 2027 Apr 27:101435. doi: 10.1016/j.lanmic.2026.101435. Online ahead of print.</w:t>
      </w:r>
    </w:p>
    <w:p w:rsidR="00C55CB5" w:rsidRPr="00C1344E" w:rsidRDefault="00C55CB5" w:rsidP="00C55CB5">
      <w:pPr>
        <w:pStyle w:val="a3"/>
        <w:rPr>
          <w:rFonts w:hAnsi="宋体" w:cs="宋体"/>
        </w:rPr>
      </w:pP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Advances in tuberculosis diagnostics and biomarkers, 2020-26: scientific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>evidence, recommendations, gaps, and developmental priorities.</w:t>
      </w:r>
    </w:p>
    <w:p w:rsidR="00C55CB5" w:rsidRPr="00C1344E" w:rsidRDefault="00C55CB5" w:rsidP="00C55CB5">
      <w:pPr>
        <w:pStyle w:val="a3"/>
        <w:rPr>
          <w:rFonts w:hAnsi="宋体" w:cs="宋体"/>
        </w:rPr>
      </w:pP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Walzl G(1), McHugh TD(2), Chakaya J(3), Sahu S(4), Ditiu L(4), Huggett JF(5),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Mwaba P(6), Asogun D(7), Ahmed R(8), Zumla A(8), Nyasulu PS(9), Hui DS(10),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>Marais BJ(11), Goletti D(12), Zumla A(13).</w:t>
      </w:r>
    </w:p>
    <w:p w:rsidR="00C55CB5" w:rsidRPr="00C1344E" w:rsidRDefault="00C55CB5" w:rsidP="00C55CB5">
      <w:pPr>
        <w:pStyle w:val="a3"/>
        <w:rPr>
          <w:rFonts w:hAnsi="宋体" w:cs="宋体"/>
        </w:rPr>
      </w:pP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>Author information: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(1)South African Medical Research Council Centre for Tuberculosis Research,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Biomedical Research Institute, Division of Immunology, Faculty of Medicine and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>Health Sciences, Stellenbosch University, Cape Town, South Africa.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(2)Centre for Clinical Microbiology, Division of Infection and Immunity,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>University College London, London, UK.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(3)Centre for Respiratory Diseases Research, Kenya Medical Research Institute,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Nairobi, Kenya; Research and Public Health Unit, Respiratory Society of Kenya,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>Nairobi, Kenya.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>(4)Stop TB Partnership Secretariat, Global Health Campus, Geneva, Switzerland.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>(5)National Measurement Laboratory, LGC Group, Guildford, UK.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(6)Lusaka Apex Medical University and University of Zambia-University College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>London Medical School Research and Training Project, Lusaka, Zambia.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(7)Department of Community Medicine, Irrua Specialist Teaching Hospital, Irrua,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>Nigeria; Faculty of Clinical Sciences, Ambrose Alli University, Ekpoma, Nigeria.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(8)Institute of Medicine, University of Greater Manchester and Respiratory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>Department, Royal Bolton Hospital, Bolton NHS Foundation Trust, Bolton, UK.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(9)Division of Epidemiology and Biostatistics, Department of Global Health,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Faculty of Medicine and Health Sciences, Stellenbosch University, Cape Town,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>South Africa.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(10)Department of Medicine and Therapeutics, The Chinese University of Hong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>Kong, Shatin, Hong Kong Special Administrative Region, China.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(11)Sydney Infectious Diseases Institute (Sydney ID) and The Children's Hospital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>at Westmead Clinical School, University of Sydney, Sydney, NSW, Australia.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(12)Translational Research Unit, National Institute for Infectious Diseases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Lazzaro Spallanzani, Istituto di Ricovero e Cura a Carattere Scientifico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>(IRCCS), Rome, Italy.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(13)Center for Clinical Microbiology, Institute of Infection, Immunity and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Transplantation, University College London, London, UK; NIHR Biomedical Research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Centre, University College London Hospitals NHS Foundation Trust, London, UK.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>Electronic address: a.zumla@ucl.ac.uk.</w:t>
      </w:r>
    </w:p>
    <w:p w:rsidR="00C55CB5" w:rsidRPr="00C1344E" w:rsidRDefault="00C55CB5" w:rsidP="00C55CB5">
      <w:pPr>
        <w:pStyle w:val="a3"/>
        <w:rPr>
          <w:rFonts w:hAnsi="宋体" w:cs="宋体"/>
        </w:rPr>
      </w:pP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Major advances in tuberculosis diagnostics and biomarker research from 2020 to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2025 have informed updated WHO policy guidance, consolidating recommendations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for the detection of tuberculosis disease and drug resistance within a single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framework. These recommendations align screening, diagnosis, and drug-resistance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testing across populations and specimen types. Digital chest radiography,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increasingly supported by computer-aided detection, is now a core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WHO-recommended screening and triage tool, improving case detection and referral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for confirmatory testing at scale. Decentralised molecular diagnosis has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expanded through diversified deployment of WHO-recommended rapid diagnostic test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classes, particularly low-complexity automated nucleic acid amplification tests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(NAATs), including the Xpert MTB/RIF Ultra and Truenat platforms. These tests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lastRenderedPageBreak/>
        <w:t xml:space="preserve">are complemented by low-complexity manual NAATs such as tuberculosis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loop-mediated isothermal amplification and by emerging near point-of-care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molecular platforms under evaluation. Latest WHO policy updates have also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introduced a new class of near point-of-care NAATs designed for decentralised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use, alongside novel specimen types such as tongue swabs for individuals unable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to produce sputum, and programmatic innovations, including sputum pooling, to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improve efficiency. Expanded use of molecular diagnostics across non-sputum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specimens, including stool, gastric aspirate, and nasopharyngeal samples,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together with simplified workflows, has improved bacteriological confirmation in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children and other sputum-scarce populations. Rapid molecular drug-resistance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testing has advanced with Xpert MTB/XDR, and targeted next-generation sequencing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is now recognised as a WHO-endorsed approach for comprehensive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drug-susceptibility testing at reference laboratory level. Urine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lipoarabinomannan-based assays improve diagnostic yield in people with HIV,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particularly those with advanced disease, although performance limitations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constrain broader use. Substantial performance, implementation, and equity gaps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remain. In parallel, host blood transcriptomic signatures show strong short-term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prognostic and triage performance, and additional proteomic, metabolomic,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cellular, imaging, and pathogen-derived biomarkers are advancing through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clinical evaluation. However, no biomarker has yet met the WHO target product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profile criteria for a point-of-care test that reliably distinguishes M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tuberculosis infection from tuberculosis disease, including asymptomatic or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minimally symptomatic tuberculosis disease, often described in the research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>literature as subclinical tuberculosis.</w:t>
      </w:r>
    </w:p>
    <w:p w:rsidR="00C55CB5" w:rsidRPr="00C1344E" w:rsidRDefault="00C55CB5" w:rsidP="00C55CB5">
      <w:pPr>
        <w:pStyle w:val="a3"/>
        <w:rPr>
          <w:rFonts w:hAnsi="宋体" w:cs="宋体"/>
        </w:rPr>
      </w:pP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>Copyright © 2026 The Author(s). Published by Elsevier Ltd.. All rights reserved.</w:t>
      </w:r>
    </w:p>
    <w:p w:rsidR="00C55CB5" w:rsidRPr="00C1344E" w:rsidRDefault="00C55CB5" w:rsidP="00C55CB5">
      <w:pPr>
        <w:pStyle w:val="a3"/>
        <w:rPr>
          <w:rFonts w:hAnsi="宋体" w:cs="宋体"/>
        </w:rPr>
      </w:pP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>DOI: 10.1016/j.lanmic.2026.101435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>PMID: 42526490</w:t>
      </w:r>
    </w:p>
    <w:p w:rsidR="00C55CB5" w:rsidRPr="00C1344E" w:rsidRDefault="00C55CB5" w:rsidP="00C55CB5">
      <w:pPr>
        <w:pStyle w:val="a3"/>
        <w:rPr>
          <w:rFonts w:hAnsi="宋体" w:cs="宋体"/>
        </w:rPr>
      </w:pPr>
    </w:p>
    <w:p w:rsidR="00C55CB5" w:rsidRPr="003E7A68" w:rsidRDefault="003E7A68" w:rsidP="00C55CB5">
      <w:pPr>
        <w:pStyle w:val="a3"/>
        <w:rPr>
          <w:rFonts w:hAnsi="宋体" w:cs="宋体"/>
          <w:b/>
          <w:color w:val="FF0000"/>
        </w:rPr>
      </w:pPr>
      <w:r w:rsidRPr="003E7A68">
        <w:rPr>
          <w:rFonts w:hAnsi="宋体" w:cs="宋体"/>
          <w:b/>
          <w:color w:val="FF0000"/>
        </w:rPr>
        <w:t>119</w:t>
      </w:r>
      <w:r w:rsidR="00C55CB5" w:rsidRPr="003E7A68">
        <w:rPr>
          <w:rFonts w:hAnsi="宋体" w:cs="宋体"/>
          <w:b/>
          <w:color w:val="FF0000"/>
        </w:rPr>
        <w:t>. Lancet Microbe. 2027 Apr 26:101433. doi: 10.1016/j.lanmic.2026.101433. Online ahead of print.</w:t>
      </w:r>
    </w:p>
    <w:p w:rsidR="00C55CB5" w:rsidRPr="00C1344E" w:rsidRDefault="00C55CB5" w:rsidP="00C55CB5">
      <w:pPr>
        <w:pStyle w:val="a3"/>
        <w:rPr>
          <w:rFonts w:hAnsi="宋体" w:cs="宋体"/>
        </w:rPr>
      </w:pP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State of the global tuberculosis epidemic: burden, progress towards WHO End TB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>Strategy targets and systemic challenges.</w:t>
      </w:r>
    </w:p>
    <w:p w:rsidR="00C55CB5" w:rsidRPr="00C1344E" w:rsidRDefault="00C55CB5" w:rsidP="00C55CB5">
      <w:pPr>
        <w:pStyle w:val="a3"/>
        <w:rPr>
          <w:rFonts w:hAnsi="宋体" w:cs="宋体"/>
        </w:rPr>
      </w:pP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Zenner D(1), Hui DS(2), Sahu S(3), Ditiu L(3), Yeboah-Manu D(4), Ntoumi F(5),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Mfinanga S(6), Chakaya J(7), Zumla A(8), Ahmed R(8), Tiberi S(9), Goletti D(10),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>Walzl G(11), Marais BJ(12), Zumla A(13).</w:t>
      </w:r>
    </w:p>
    <w:p w:rsidR="00C55CB5" w:rsidRPr="00C1344E" w:rsidRDefault="00C55CB5" w:rsidP="00C55CB5">
      <w:pPr>
        <w:pStyle w:val="a3"/>
        <w:rPr>
          <w:rFonts w:hAnsi="宋体" w:cs="宋体"/>
        </w:rPr>
      </w:pP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>Author information: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(1)Queen Mary and Barts Health Tuberculosis Centre and Wolfson Institute of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Population Health, Barts and The London School of Medicine and Dentistry, Queen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>Mary University of London, London, UK.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lastRenderedPageBreak/>
        <w:t xml:space="preserve">(2)Department of Medicine and Therapeutics, The Chinese University of Hong Kong,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>Shatin, Hong Kong Special Administrative Region, China.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>(3)Stop TB Partnership Secretariat, Global Health Campus, Geneva, Switzerland.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(4)Department of Bacteriology, The Noguchi Memorial Institute for Medical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>Research, University of Ghana, Accra, Ghana.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(5)Fondation Congolaise pour la Recherche Médicale, Brazzaville, Republic of the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>Congo.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(6)National Institute of Medical Research, Muhimbili Medical Research Centre,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>Dar-es-Salaam, Tanzania.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(7)Centre for Respiratory Diseases Research, Kenya Medical Research Institute,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>Nairobi, Kenya.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(8)Institute of Medicine, University of Greater Manchester and Respiratory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>Department, Royal Bolton Hospital, Bolton NHS Foundation Trust, Bolton, UK.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(9)Blizard Institute, Barts and The London School of Medicine and Dentistry,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>Queen Mary University of London, London, UK; GSK Global Health, London, UK.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(10)Translational Research Unit, National Institute for Infectious Diseases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Lazzaro Spallanzani, Istituto di Ricovero e Cura a Carattere Scientifico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>(IRCCS), Rome, Italy.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(11)South African Medical Research Council Centre for Tuberculosis Research,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Biomedical Research Institute, Division of Immunology, Faculty of Medicine and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>Health Sciences, Stellenbosch University, Cape Town, South Africa.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(12)The Children's Hospital at Westmead Clinical School, University of Sydney,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>Sydney, NSW, Australia.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(13)Center for Clinical Microbiology, Institute of Infection, Immunity and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Transplantation, University College London, London, UK; NIHR Biomedical Research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Centre, University College London, Hospitals NHS Foundation Trust, London, UK.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>Electronic address: a.zumla@ucl.ac.uk.</w:t>
      </w:r>
    </w:p>
    <w:p w:rsidR="00C55CB5" w:rsidRPr="00C1344E" w:rsidRDefault="00C55CB5" w:rsidP="00C55CB5">
      <w:pPr>
        <w:pStyle w:val="a3"/>
        <w:rPr>
          <w:rFonts w:hAnsi="宋体" w:cs="宋体"/>
        </w:rPr>
      </w:pP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Mycobacterium tuberculosis remains the leading cause of death from a single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infectious pathogen globally despite decades of effective chemotherapy. In 2024,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an estimated 10·7 million people developed tuberculosis, including approximately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>620</w:t>
      </w:r>
      <w:r w:rsidRPr="00C1344E">
        <w:rPr>
          <w:rFonts w:ascii="MS Gothic" w:eastAsia="MS Gothic" w:hAnsi="MS Gothic" w:cs="MS Gothic" w:hint="eastAsia"/>
        </w:rPr>
        <w:t> </w:t>
      </w:r>
      <w:r w:rsidRPr="00C1344E">
        <w:rPr>
          <w:rFonts w:hAnsi="宋体" w:cs="宋体"/>
        </w:rPr>
        <w:t xml:space="preserve">000 people living with HIV (PLHIV), and tuberculosis caused an estimated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>1·23 million deaths overall, including approximately 150</w:t>
      </w:r>
      <w:r w:rsidRPr="00C1344E">
        <w:rPr>
          <w:rFonts w:ascii="MS Gothic" w:eastAsia="MS Gothic" w:hAnsi="MS Gothic" w:cs="MS Gothic" w:hint="eastAsia"/>
        </w:rPr>
        <w:t> </w:t>
      </w:r>
      <w:r w:rsidRPr="00C1344E">
        <w:rPr>
          <w:rFonts w:hAnsi="宋体" w:cs="宋体"/>
        </w:rPr>
        <w:t xml:space="preserve">000 deaths among PLHIV.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Men accounted for more than half of the cases, and children represented a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substantial burden, reflecting ongoing transmission and diagnostic gaps.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Approximately a quarter of the world's population has been infected with M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tuberculosis, with immunological evidence of previous or current infection. This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population includes groups at increased risk of progression to tuberculosis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disease, particularly those with recent infection, HIV, undernutrition, young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age, or other clinical and social vulnerabilities. Following 3 years of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COVID-19-related setbacks, global tuberculosis incidence declined modestly (1%)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from 2023 to 2024 but remains higher than in 2020 and far off-track to meet the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2025 WHO End TB Strategy milestones. Case detection improved to 8·3 million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notifications (78% of estimated incident cases), supported by expanded molecular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lastRenderedPageBreak/>
        <w:t xml:space="preserve">diagnostics; however, prevalence surveys continue to reveal substantial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proportions of bacteriologically confirmed but asymptomatic tuberculosis,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highlighting persistent transmission and missed diagnoses. 30 high-burden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countries accounted for 87% of cases, led by India, Indonesia, the Philippines,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China, Pakistan, Nigeria, the Democratic Republic of the Congo, and Bangladesh.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M tuberculosis-HIV co-infection remains a major driver of mortality in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>sub-Saharan Africa. Drug-resistant tuberculosis threatens progress: of 390</w:t>
      </w:r>
      <w:r w:rsidRPr="00C1344E">
        <w:rPr>
          <w:rFonts w:ascii="MS Gothic" w:eastAsia="MS Gothic" w:hAnsi="MS Gothic" w:cs="MS Gothic" w:hint="eastAsia"/>
        </w:rPr>
        <w:t> </w:t>
      </w:r>
      <w:r w:rsidRPr="00C1344E">
        <w:rPr>
          <w:rFonts w:hAnsi="宋体" w:cs="宋体"/>
        </w:rPr>
        <w:t xml:space="preserve">000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estimated multidrug-resistant or rifampicin-resistant tuberculosis cases in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2024, only 42% initiated treatment, although treatment success improved to 71%.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Tuberculosis-preventive treatment reached 5·3 million people, including 58% of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PLHIV and 25% of eligible household contacts, well below global targets.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Persistent undernutrition, poverty, HIV, diabetes, smoking, alcohol use, air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pollution, migration, and conflict continue to shape tuberculosis epidemiology.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With financing at only 27% of global targets, accelerated prevention, proactive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case finding, social protection, and sustained political commitment are 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>essential to eliminate tuberculosis.</w:t>
      </w:r>
    </w:p>
    <w:p w:rsidR="00C55CB5" w:rsidRPr="00C1344E" w:rsidRDefault="00C55CB5" w:rsidP="00C55CB5">
      <w:pPr>
        <w:pStyle w:val="a3"/>
        <w:rPr>
          <w:rFonts w:hAnsi="宋体" w:cs="宋体"/>
        </w:rPr>
      </w:pP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>Copyright © 2026 The Author(s). Published by Elsevier Ltd.. All rights reserved.</w:t>
      </w:r>
    </w:p>
    <w:p w:rsidR="00C55CB5" w:rsidRPr="00C1344E" w:rsidRDefault="00C55CB5" w:rsidP="00C55CB5">
      <w:pPr>
        <w:pStyle w:val="a3"/>
        <w:rPr>
          <w:rFonts w:hAnsi="宋体" w:cs="宋体"/>
        </w:rPr>
      </w:pPr>
    </w:p>
    <w:p w:rsidR="00C55CB5" w:rsidRPr="00C1344E" w:rsidRDefault="00C55CB5" w:rsidP="00C55CB5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>DOI: 10.1016/j.lanmic.2026.101433</w:t>
      </w:r>
    </w:p>
    <w:p w:rsidR="00C55CB5" w:rsidRPr="00C1344E" w:rsidRDefault="00C55CB5" w:rsidP="00C55CB5">
      <w:pPr>
        <w:pStyle w:val="a3"/>
        <w:rPr>
          <w:rFonts w:hAnsi="宋体" w:cs="宋体"/>
        </w:rPr>
      </w:pPr>
      <w:r>
        <w:rPr>
          <w:rFonts w:hAnsi="宋体" w:cs="宋体"/>
        </w:rPr>
        <w:t>PMID: 42526488</w:t>
      </w:r>
    </w:p>
    <w:p w:rsidR="00C55CB5" w:rsidRPr="00C1344E" w:rsidRDefault="00C55CB5" w:rsidP="00C55CB5">
      <w:pPr>
        <w:pStyle w:val="a3"/>
        <w:rPr>
          <w:rFonts w:hAnsi="宋体" w:cs="宋体"/>
        </w:rPr>
      </w:pPr>
    </w:p>
    <w:p w:rsidR="001B6D0A" w:rsidRPr="00465EB7" w:rsidRDefault="001B6D0A" w:rsidP="00311E11">
      <w:pPr>
        <w:rPr>
          <w:rFonts w:ascii="宋体" w:eastAsia="宋体" w:hAnsi="宋体" w:cs="宋体" w:hint="eastAsia"/>
          <w:color w:val="000000" w:themeColor="text1"/>
          <w:szCs w:val="24"/>
        </w:rPr>
      </w:pPr>
    </w:p>
    <w:sectPr w:rsidR="001B6D0A" w:rsidRPr="00465EB7" w:rsidSect="00A47695">
      <w:pgSz w:w="11906" w:h="16838"/>
      <w:pgMar w:top="1440" w:right="1753" w:bottom="1440" w:left="175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0644" w:rsidRDefault="001A0644" w:rsidP="00913F6F">
      <w:r>
        <w:separator/>
      </w:r>
    </w:p>
  </w:endnote>
  <w:endnote w:type="continuationSeparator" w:id="0">
    <w:p w:rsidR="001A0644" w:rsidRDefault="001A0644" w:rsidP="00913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0644" w:rsidRDefault="001A0644" w:rsidP="00913F6F">
      <w:r>
        <w:separator/>
      </w:r>
    </w:p>
  </w:footnote>
  <w:footnote w:type="continuationSeparator" w:id="0">
    <w:p w:rsidR="001A0644" w:rsidRDefault="001A0644" w:rsidP="00913F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hideSpellingErrors/>
  <w:hideGrammaticalError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388"/>
    <w:rsid w:val="00000EB4"/>
    <w:rsid w:val="00001BCE"/>
    <w:rsid w:val="00004FA0"/>
    <w:rsid w:val="00005480"/>
    <w:rsid w:val="0000548B"/>
    <w:rsid w:val="00005BFA"/>
    <w:rsid w:val="00006312"/>
    <w:rsid w:val="00006445"/>
    <w:rsid w:val="00006AD1"/>
    <w:rsid w:val="00007FE2"/>
    <w:rsid w:val="00010E83"/>
    <w:rsid w:val="0001109E"/>
    <w:rsid w:val="00011EE4"/>
    <w:rsid w:val="00014ACD"/>
    <w:rsid w:val="00014B97"/>
    <w:rsid w:val="00014C5C"/>
    <w:rsid w:val="000151BC"/>
    <w:rsid w:val="000163F8"/>
    <w:rsid w:val="0001793D"/>
    <w:rsid w:val="00017A03"/>
    <w:rsid w:val="00017EFF"/>
    <w:rsid w:val="00020101"/>
    <w:rsid w:val="00020316"/>
    <w:rsid w:val="0002051D"/>
    <w:rsid w:val="00021027"/>
    <w:rsid w:val="00021F93"/>
    <w:rsid w:val="00025A11"/>
    <w:rsid w:val="00026111"/>
    <w:rsid w:val="00026718"/>
    <w:rsid w:val="00030012"/>
    <w:rsid w:val="000309FE"/>
    <w:rsid w:val="000313FC"/>
    <w:rsid w:val="00032CAA"/>
    <w:rsid w:val="00032F94"/>
    <w:rsid w:val="000340CF"/>
    <w:rsid w:val="0003428A"/>
    <w:rsid w:val="00035E04"/>
    <w:rsid w:val="00036F5C"/>
    <w:rsid w:val="000370E0"/>
    <w:rsid w:val="000379B3"/>
    <w:rsid w:val="00037A3B"/>
    <w:rsid w:val="00040872"/>
    <w:rsid w:val="00042020"/>
    <w:rsid w:val="00042414"/>
    <w:rsid w:val="00042556"/>
    <w:rsid w:val="00042899"/>
    <w:rsid w:val="00044A66"/>
    <w:rsid w:val="00044B78"/>
    <w:rsid w:val="00044C28"/>
    <w:rsid w:val="00045FBC"/>
    <w:rsid w:val="000461EE"/>
    <w:rsid w:val="0004682E"/>
    <w:rsid w:val="00047272"/>
    <w:rsid w:val="000474E6"/>
    <w:rsid w:val="00047D13"/>
    <w:rsid w:val="000505E8"/>
    <w:rsid w:val="00050E61"/>
    <w:rsid w:val="00051DD5"/>
    <w:rsid w:val="000527D8"/>
    <w:rsid w:val="00052E5C"/>
    <w:rsid w:val="000531C2"/>
    <w:rsid w:val="0005401D"/>
    <w:rsid w:val="0005489E"/>
    <w:rsid w:val="00054996"/>
    <w:rsid w:val="000549F5"/>
    <w:rsid w:val="000552EE"/>
    <w:rsid w:val="000567C6"/>
    <w:rsid w:val="00056ACF"/>
    <w:rsid w:val="0006072D"/>
    <w:rsid w:val="00060930"/>
    <w:rsid w:val="00061C4E"/>
    <w:rsid w:val="00061F05"/>
    <w:rsid w:val="00062062"/>
    <w:rsid w:val="0006216E"/>
    <w:rsid w:val="0006285F"/>
    <w:rsid w:val="00063F03"/>
    <w:rsid w:val="00064D3B"/>
    <w:rsid w:val="000661FE"/>
    <w:rsid w:val="00067B6F"/>
    <w:rsid w:val="00067C37"/>
    <w:rsid w:val="00070238"/>
    <w:rsid w:val="00070407"/>
    <w:rsid w:val="0007049C"/>
    <w:rsid w:val="00071826"/>
    <w:rsid w:val="00072366"/>
    <w:rsid w:val="000724C3"/>
    <w:rsid w:val="00074388"/>
    <w:rsid w:val="00076272"/>
    <w:rsid w:val="00077EC3"/>
    <w:rsid w:val="000802F3"/>
    <w:rsid w:val="0008127A"/>
    <w:rsid w:val="000814BF"/>
    <w:rsid w:val="00082113"/>
    <w:rsid w:val="000823C5"/>
    <w:rsid w:val="00083685"/>
    <w:rsid w:val="00084FA1"/>
    <w:rsid w:val="00085FFF"/>
    <w:rsid w:val="0008630A"/>
    <w:rsid w:val="00086502"/>
    <w:rsid w:val="00087251"/>
    <w:rsid w:val="00090B3F"/>
    <w:rsid w:val="00090B53"/>
    <w:rsid w:val="0009167A"/>
    <w:rsid w:val="00091781"/>
    <w:rsid w:val="00091D4F"/>
    <w:rsid w:val="0009258E"/>
    <w:rsid w:val="00092CA5"/>
    <w:rsid w:val="00092F7F"/>
    <w:rsid w:val="00093EB4"/>
    <w:rsid w:val="000943C3"/>
    <w:rsid w:val="0009444D"/>
    <w:rsid w:val="00094774"/>
    <w:rsid w:val="00094D1C"/>
    <w:rsid w:val="0009523F"/>
    <w:rsid w:val="000961CE"/>
    <w:rsid w:val="000966AA"/>
    <w:rsid w:val="000A087D"/>
    <w:rsid w:val="000A0ACA"/>
    <w:rsid w:val="000A0F96"/>
    <w:rsid w:val="000A124E"/>
    <w:rsid w:val="000A127A"/>
    <w:rsid w:val="000A1434"/>
    <w:rsid w:val="000A1D4B"/>
    <w:rsid w:val="000A2127"/>
    <w:rsid w:val="000A2D53"/>
    <w:rsid w:val="000A2F2E"/>
    <w:rsid w:val="000A37C7"/>
    <w:rsid w:val="000A3943"/>
    <w:rsid w:val="000A3E0E"/>
    <w:rsid w:val="000A47E7"/>
    <w:rsid w:val="000A496C"/>
    <w:rsid w:val="000A4A7D"/>
    <w:rsid w:val="000A51E6"/>
    <w:rsid w:val="000A5D84"/>
    <w:rsid w:val="000A6101"/>
    <w:rsid w:val="000A72A6"/>
    <w:rsid w:val="000B00E0"/>
    <w:rsid w:val="000B0CA1"/>
    <w:rsid w:val="000B0CAE"/>
    <w:rsid w:val="000B1016"/>
    <w:rsid w:val="000B115F"/>
    <w:rsid w:val="000B13CA"/>
    <w:rsid w:val="000B16AA"/>
    <w:rsid w:val="000B18A0"/>
    <w:rsid w:val="000B2704"/>
    <w:rsid w:val="000B2997"/>
    <w:rsid w:val="000B2D0A"/>
    <w:rsid w:val="000B39CD"/>
    <w:rsid w:val="000B579D"/>
    <w:rsid w:val="000B58BE"/>
    <w:rsid w:val="000B5A38"/>
    <w:rsid w:val="000B5C58"/>
    <w:rsid w:val="000B6618"/>
    <w:rsid w:val="000B6906"/>
    <w:rsid w:val="000B6914"/>
    <w:rsid w:val="000B6D3C"/>
    <w:rsid w:val="000B7B81"/>
    <w:rsid w:val="000B7B97"/>
    <w:rsid w:val="000C04D5"/>
    <w:rsid w:val="000C1093"/>
    <w:rsid w:val="000C3590"/>
    <w:rsid w:val="000C3A90"/>
    <w:rsid w:val="000C488A"/>
    <w:rsid w:val="000C5482"/>
    <w:rsid w:val="000C614D"/>
    <w:rsid w:val="000C683A"/>
    <w:rsid w:val="000C71E1"/>
    <w:rsid w:val="000D02D3"/>
    <w:rsid w:val="000D205B"/>
    <w:rsid w:val="000D2241"/>
    <w:rsid w:val="000D2A9B"/>
    <w:rsid w:val="000D2B94"/>
    <w:rsid w:val="000D2F64"/>
    <w:rsid w:val="000D3403"/>
    <w:rsid w:val="000D5656"/>
    <w:rsid w:val="000D6450"/>
    <w:rsid w:val="000D7BF2"/>
    <w:rsid w:val="000E052F"/>
    <w:rsid w:val="000E2388"/>
    <w:rsid w:val="000E2E0D"/>
    <w:rsid w:val="000E4DF7"/>
    <w:rsid w:val="000E615C"/>
    <w:rsid w:val="000E6A33"/>
    <w:rsid w:val="000E6C23"/>
    <w:rsid w:val="000E713B"/>
    <w:rsid w:val="000F0847"/>
    <w:rsid w:val="000F0A49"/>
    <w:rsid w:val="000F0D00"/>
    <w:rsid w:val="000F1E63"/>
    <w:rsid w:val="000F1FFB"/>
    <w:rsid w:val="000F24D7"/>
    <w:rsid w:val="000F3795"/>
    <w:rsid w:val="000F39E9"/>
    <w:rsid w:val="000F3B6A"/>
    <w:rsid w:val="000F41CE"/>
    <w:rsid w:val="000F5BE2"/>
    <w:rsid w:val="000F5FC7"/>
    <w:rsid w:val="000F6938"/>
    <w:rsid w:val="000F6B20"/>
    <w:rsid w:val="000F7FE8"/>
    <w:rsid w:val="001009A0"/>
    <w:rsid w:val="00100A49"/>
    <w:rsid w:val="00101FDC"/>
    <w:rsid w:val="0010360B"/>
    <w:rsid w:val="00103B38"/>
    <w:rsid w:val="001045B5"/>
    <w:rsid w:val="00104C1E"/>
    <w:rsid w:val="00104CC5"/>
    <w:rsid w:val="00106495"/>
    <w:rsid w:val="001100AE"/>
    <w:rsid w:val="001111F4"/>
    <w:rsid w:val="00112102"/>
    <w:rsid w:val="001128DA"/>
    <w:rsid w:val="00113B07"/>
    <w:rsid w:val="001146C5"/>
    <w:rsid w:val="00115AA0"/>
    <w:rsid w:val="001160B6"/>
    <w:rsid w:val="00117A55"/>
    <w:rsid w:val="00117E9C"/>
    <w:rsid w:val="00120200"/>
    <w:rsid w:val="00120C7E"/>
    <w:rsid w:val="00122BB5"/>
    <w:rsid w:val="00123084"/>
    <w:rsid w:val="0012313C"/>
    <w:rsid w:val="001232FE"/>
    <w:rsid w:val="001239BF"/>
    <w:rsid w:val="00123B2B"/>
    <w:rsid w:val="00123D14"/>
    <w:rsid w:val="00124054"/>
    <w:rsid w:val="00124203"/>
    <w:rsid w:val="00124FA0"/>
    <w:rsid w:val="001250F8"/>
    <w:rsid w:val="001258E8"/>
    <w:rsid w:val="00130332"/>
    <w:rsid w:val="00130522"/>
    <w:rsid w:val="00131064"/>
    <w:rsid w:val="00131D02"/>
    <w:rsid w:val="00131F89"/>
    <w:rsid w:val="00132F05"/>
    <w:rsid w:val="0013385F"/>
    <w:rsid w:val="00133BD7"/>
    <w:rsid w:val="00133F6C"/>
    <w:rsid w:val="0013533E"/>
    <w:rsid w:val="00135AEE"/>
    <w:rsid w:val="00135C60"/>
    <w:rsid w:val="00135D11"/>
    <w:rsid w:val="00137D90"/>
    <w:rsid w:val="001400DC"/>
    <w:rsid w:val="00141D76"/>
    <w:rsid w:val="00142DC2"/>
    <w:rsid w:val="00143C23"/>
    <w:rsid w:val="00143FFB"/>
    <w:rsid w:val="001442A6"/>
    <w:rsid w:val="0014482B"/>
    <w:rsid w:val="00144C21"/>
    <w:rsid w:val="00145536"/>
    <w:rsid w:val="00145858"/>
    <w:rsid w:val="001460E6"/>
    <w:rsid w:val="001462BE"/>
    <w:rsid w:val="0014644D"/>
    <w:rsid w:val="00147542"/>
    <w:rsid w:val="00147E95"/>
    <w:rsid w:val="0015022B"/>
    <w:rsid w:val="00151492"/>
    <w:rsid w:val="0015230D"/>
    <w:rsid w:val="00152842"/>
    <w:rsid w:val="00152DAF"/>
    <w:rsid w:val="00152FFB"/>
    <w:rsid w:val="0015436D"/>
    <w:rsid w:val="0015447B"/>
    <w:rsid w:val="00154D19"/>
    <w:rsid w:val="00154EEE"/>
    <w:rsid w:val="001555BE"/>
    <w:rsid w:val="00155DAB"/>
    <w:rsid w:val="00160D5D"/>
    <w:rsid w:val="00161C58"/>
    <w:rsid w:val="00162024"/>
    <w:rsid w:val="00162396"/>
    <w:rsid w:val="00162E0B"/>
    <w:rsid w:val="001631D1"/>
    <w:rsid w:val="00163933"/>
    <w:rsid w:val="00166D15"/>
    <w:rsid w:val="00166F6B"/>
    <w:rsid w:val="0016722E"/>
    <w:rsid w:val="001678E4"/>
    <w:rsid w:val="00170981"/>
    <w:rsid w:val="00170E44"/>
    <w:rsid w:val="0017293C"/>
    <w:rsid w:val="001730B3"/>
    <w:rsid w:val="00174CD2"/>
    <w:rsid w:val="00176DAB"/>
    <w:rsid w:val="00176EA2"/>
    <w:rsid w:val="00176EA9"/>
    <w:rsid w:val="001770AB"/>
    <w:rsid w:val="00177782"/>
    <w:rsid w:val="00177890"/>
    <w:rsid w:val="00180BC2"/>
    <w:rsid w:val="00182C81"/>
    <w:rsid w:val="001835CE"/>
    <w:rsid w:val="001840C6"/>
    <w:rsid w:val="00184BE2"/>
    <w:rsid w:val="00185015"/>
    <w:rsid w:val="00185DA7"/>
    <w:rsid w:val="001861C1"/>
    <w:rsid w:val="0018793A"/>
    <w:rsid w:val="00187D7F"/>
    <w:rsid w:val="00187F13"/>
    <w:rsid w:val="00190F37"/>
    <w:rsid w:val="0019686E"/>
    <w:rsid w:val="001A062A"/>
    <w:rsid w:val="001A0644"/>
    <w:rsid w:val="001A19AA"/>
    <w:rsid w:val="001A19C3"/>
    <w:rsid w:val="001A24D1"/>
    <w:rsid w:val="001A287C"/>
    <w:rsid w:val="001A2B93"/>
    <w:rsid w:val="001A4CD3"/>
    <w:rsid w:val="001A5A10"/>
    <w:rsid w:val="001A61FD"/>
    <w:rsid w:val="001A7D2B"/>
    <w:rsid w:val="001A7F64"/>
    <w:rsid w:val="001B0C50"/>
    <w:rsid w:val="001B1917"/>
    <w:rsid w:val="001B2378"/>
    <w:rsid w:val="001B2393"/>
    <w:rsid w:val="001B2CC5"/>
    <w:rsid w:val="001B2E1D"/>
    <w:rsid w:val="001B3B23"/>
    <w:rsid w:val="001B407D"/>
    <w:rsid w:val="001B48FB"/>
    <w:rsid w:val="001B6473"/>
    <w:rsid w:val="001B6AA0"/>
    <w:rsid w:val="001B6D0A"/>
    <w:rsid w:val="001B72F3"/>
    <w:rsid w:val="001C143E"/>
    <w:rsid w:val="001C2157"/>
    <w:rsid w:val="001C2709"/>
    <w:rsid w:val="001C3A11"/>
    <w:rsid w:val="001C4AAF"/>
    <w:rsid w:val="001C5349"/>
    <w:rsid w:val="001C55D4"/>
    <w:rsid w:val="001C6150"/>
    <w:rsid w:val="001C71B1"/>
    <w:rsid w:val="001D094C"/>
    <w:rsid w:val="001D12AE"/>
    <w:rsid w:val="001D135A"/>
    <w:rsid w:val="001D193B"/>
    <w:rsid w:val="001D1977"/>
    <w:rsid w:val="001D1E65"/>
    <w:rsid w:val="001D20AE"/>
    <w:rsid w:val="001D243D"/>
    <w:rsid w:val="001D35E3"/>
    <w:rsid w:val="001D3C91"/>
    <w:rsid w:val="001D49D4"/>
    <w:rsid w:val="001D4AFF"/>
    <w:rsid w:val="001D5338"/>
    <w:rsid w:val="001D6792"/>
    <w:rsid w:val="001D680A"/>
    <w:rsid w:val="001D6B99"/>
    <w:rsid w:val="001D6E95"/>
    <w:rsid w:val="001D7211"/>
    <w:rsid w:val="001E002A"/>
    <w:rsid w:val="001E0F47"/>
    <w:rsid w:val="001E184B"/>
    <w:rsid w:val="001E2408"/>
    <w:rsid w:val="001E3564"/>
    <w:rsid w:val="001E4549"/>
    <w:rsid w:val="001E4901"/>
    <w:rsid w:val="001E4B76"/>
    <w:rsid w:val="001E6B7F"/>
    <w:rsid w:val="001E6C66"/>
    <w:rsid w:val="001E7DBB"/>
    <w:rsid w:val="001E7F12"/>
    <w:rsid w:val="001F0B99"/>
    <w:rsid w:val="001F0D20"/>
    <w:rsid w:val="001F13B5"/>
    <w:rsid w:val="001F1AB3"/>
    <w:rsid w:val="001F1DDA"/>
    <w:rsid w:val="001F223F"/>
    <w:rsid w:val="001F3009"/>
    <w:rsid w:val="001F468E"/>
    <w:rsid w:val="001F47BE"/>
    <w:rsid w:val="001F7758"/>
    <w:rsid w:val="001F7BC3"/>
    <w:rsid w:val="002014D3"/>
    <w:rsid w:val="002017C2"/>
    <w:rsid w:val="00201C77"/>
    <w:rsid w:val="00202B36"/>
    <w:rsid w:val="00203139"/>
    <w:rsid w:val="0020332A"/>
    <w:rsid w:val="00203479"/>
    <w:rsid w:val="002035B2"/>
    <w:rsid w:val="00203A11"/>
    <w:rsid w:val="00204451"/>
    <w:rsid w:val="0020501F"/>
    <w:rsid w:val="0020526D"/>
    <w:rsid w:val="00206168"/>
    <w:rsid w:val="00207270"/>
    <w:rsid w:val="00210B36"/>
    <w:rsid w:val="00211D14"/>
    <w:rsid w:val="00212490"/>
    <w:rsid w:val="0021250D"/>
    <w:rsid w:val="00212E84"/>
    <w:rsid w:val="002140A1"/>
    <w:rsid w:val="00214B74"/>
    <w:rsid w:val="00214C10"/>
    <w:rsid w:val="0021558B"/>
    <w:rsid w:val="00215646"/>
    <w:rsid w:val="00217583"/>
    <w:rsid w:val="00217D7F"/>
    <w:rsid w:val="00217EAC"/>
    <w:rsid w:val="00220375"/>
    <w:rsid w:val="00220876"/>
    <w:rsid w:val="002208AD"/>
    <w:rsid w:val="00222583"/>
    <w:rsid w:val="00222BD1"/>
    <w:rsid w:val="00223A24"/>
    <w:rsid w:val="002245BB"/>
    <w:rsid w:val="00224620"/>
    <w:rsid w:val="002246DD"/>
    <w:rsid w:val="002253AA"/>
    <w:rsid w:val="00225946"/>
    <w:rsid w:val="002259F8"/>
    <w:rsid w:val="00225AA2"/>
    <w:rsid w:val="00225FCA"/>
    <w:rsid w:val="00227A3A"/>
    <w:rsid w:val="00227B06"/>
    <w:rsid w:val="00230527"/>
    <w:rsid w:val="002307EA"/>
    <w:rsid w:val="002310DD"/>
    <w:rsid w:val="002327BB"/>
    <w:rsid w:val="00232D13"/>
    <w:rsid w:val="002341B8"/>
    <w:rsid w:val="00234622"/>
    <w:rsid w:val="002354A4"/>
    <w:rsid w:val="00235C0D"/>
    <w:rsid w:val="0023625F"/>
    <w:rsid w:val="002374E2"/>
    <w:rsid w:val="00237947"/>
    <w:rsid w:val="00237F69"/>
    <w:rsid w:val="0024041B"/>
    <w:rsid w:val="0024169A"/>
    <w:rsid w:val="00241991"/>
    <w:rsid w:val="00241AAF"/>
    <w:rsid w:val="00241CCB"/>
    <w:rsid w:val="00241EF5"/>
    <w:rsid w:val="00243AAC"/>
    <w:rsid w:val="00243CAB"/>
    <w:rsid w:val="00245848"/>
    <w:rsid w:val="00247A30"/>
    <w:rsid w:val="00247DD5"/>
    <w:rsid w:val="00251D15"/>
    <w:rsid w:val="00252055"/>
    <w:rsid w:val="0025206B"/>
    <w:rsid w:val="002521B7"/>
    <w:rsid w:val="002531F0"/>
    <w:rsid w:val="0025385D"/>
    <w:rsid w:val="00254746"/>
    <w:rsid w:val="002549C3"/>
    <w:rsid w:val="002553EB"/>
    <w:rsid w:val="002560F7"/>
    <w:rsid w:val="00261FA0"/>
    <w:rsid w:val="002625F3"/>
    <w:rsid w:val="002627B3"/>
    <w:rsid w:val="0026297A"/>
    <w:rsid w:val="002644D4"/>
    <w:rsid w:val="00264B9F"/>
    <w:rsid w:val="00264CEA"/>
    <w:rsid w:val="00264E19"/>
    <w:rsid w:val="00265139"/>
    <w:rsid w:val="00266E21"/>
    <w:rsid w:val="00267E57"/>
    <w:rsid w:val="00270108"/>
    <w:rsid w:val="00270744"/>
    <w:rsid w:val="00270A23"/>
    <w:rsid w:val="002722A7"/>
    <w:rsid w:val="002728C5"/>
    <w:rsid w:val="00273A9C"/>
    <w:rsid w:val="0027416D"/>
    <w:rsid w:val="00274293"/>
    <w:rsid w:val="00275956"/>
    <w:rsid w:val="00275EC1"/>
    <w:rsid w:val="00277AFE"/>
    <w:rsid w:val="00277F10"/>
    <w:rsid w:val="0028042B"/>
    <w:rsid w:val="00280E39"/>
    <w:rsid w:val="00280F31"/>
    <w:rsid w:val="00281CB1"/>
    <w:rsid w:val="0028209D"/>
    <w:rsid w:val="0028230D"/>
    <w:rsid w:val="00282B0E"/>
    <w:rsid w:val="00282F1F"/>
    <w:rsid w:val="0028314F"/>
    <w:rsid w:val="0028424E"/>
    <w:rsid w:val="002848FA"/>
    <w:rsid w:val="00285197"/>
    <w:rsid w:val="00285319"/>
    <w:rsid w:val="00285E4E"/>
    <w:rsid w:val="0028600C"/>
    <w:rsid w:val="00286550"/>
    <w:rsid w:val="00286887"/>
    <w:rsid w:val="002868D6"/>
    <w:rsid w:val="00286A29"/>
    <w:rsid w:val="002874B2"/>
    <w:rsid w:val="002874EE"/>
    <w:rsid w:val="00287640"/>
    <w:rsid w:val="00290B6B"/>
    <w:rsid w:val="00290E55"/>
    <w:rsid w:val="00290E94"/>
    <w:rsid w:val="00292A20"/>
    <w:rsid w:val="00292BA6"/>
    <w:rsid w:val="00294663"/>
    <w:rsid w:val="00295075"/>
    <w:rsid w:val="00295697"/>
    <w:rsid w:val="00295B81"/>
    <w:rsid w:val="00295B85"/>
    <w:rsid w:val="0029689E"/>
    <w:rsid w:val="00296D7C"/>
    <w:rsid w:val="00296E3B"/>
    <w:rsid w:val="00297519"/>
    <w:rsid w:val="00297B5A"/>
    <w:rsid w:val="00297DED"/>
    <w:rsid w:val="002A042C"/>
    <w:rsid w:val="002A07FE"/>
    <w:rsid w:val="002A0E2E"/>
    <w:rsid w:val="002A0F6A"/>
    <w:rsid w:val="002A1472"/>
    <w:rsid w:val="002A1A26"/>
    <w:rsid w:val="002A1AAB"/>
    <w:rsid w:val="002A1B06"/>
    <w:rsid w:val="002A3C42"/>
    <w:rsid w:val="002A41A5"/>
    <w:rsid w:val="002A547E"/>
    <w:rsid w:val="002A5D78"/>
    <w:rsid w:val="002A65AC"/>
    <w:rsid w:val="002A75CF"/>
    <w:rsid w:val="002A7D07"/>
    <w:rsid w:val="002B16D1"/>
    <w:rsid w:val="002B18EF"/>
    <w:rsid w:val="002B1A87"/>
    <w:rsid w:val="002B3BDD"/>
    <w:rsid w:val="002B3D2D"/>
    <w:rsid w:val="002B4B9B"/>
    <w:rsid w:val="002B5B8F"/>
    <w:rsid w:val="002B6556"/>
    <w:rsid w:val="002B7F0A"/>
    <w:rsid w:val="002C0EEC"/>
    <w:rsid w:val="002C2226"/>
    <w:rsid w:val="002C3527"/>
    <w:rsid w:val="002C589E"/>
    <w:rsid w:val="002C6147"/>
    <w:rsid w:val="002C656A"/>
    <w:rsid w:val="002C6883"/>
    <w:rsid w:val="002C6919"/>
    <w:rsid w:val="002C6A30"/>
    <w:rsid w:val="002C729F"/>
    <w:rsid w:val="002D063A"/>
    <w:rsid w:val="002D1294"/>
    <w:rsid w:val="002D1B15"/>
    <w:rsid w:val="002D259B"/>
    <w:rsid w:val="002D2D2F"/>
    <w:rsid w:val="002D31AF"/>
    <w:rsid w:val="002D38DC"/>
    <w:rsid w:val="002D3BE5"/>
    <w:rsid w:val="002D3C81"/>
    <w:rsid w:val="002D465E"/>
    <w:rsid w:val="002D4F47"/>
    <w:rsid w:val="002D538B"/>
    <w:rsid w:val="002D5586"/>
    <w:rsid w:val="002D5B3D"/>
    <w:rsid w:val="002D724F"/>
    <w:rsid w:val="002D7ADC"/>
    <w:rsid w:val="002E0C52"/>
    <w:rsid w:val="002E131C"/>
    <w:rsid w:val="002E1548"/>
    <w:rsid w:val="002E1CF6"/>
    <w:rsid w:val="002E1DE8"/>
    <w:rsid w:val="002E27A4"/>
    <w:rsid w:val="002E28FD"/>
    <w:rsid w:val="002E3CE7"/>
    <w:rsid w:val="002E40C2"/>
    <w:rsid w:val="002E75F4"/>
    <w:rsid w:val="002E7B15"/>
    <w:rsid w:val="002E7C80"/>
    <w:rsid w:val="002F014F"/>
    <w:rsid w:val="002F1E20"/>
    <w:rsid w:val="002F2207"/>
    <w:rsid w:val="002F3F3D"/>
    <w:rsid w:val="002F476D"/>
    <w:rsid w:val="002F53B0"/>
    <w:rsid w:val="002F6002"/>
    <w:rsid w:val="002F7D45"/>
    <w:rsid w:val="00300B54"/>
    <w:rsid w:val="00300C4C"/>
    <w:rsid w:val="00300CA5"/>
    <w:rsid w:val="00300DAB"/>
    <w:rsid w:val="00301687"/>
    <w:rsid w:val="003029A2"/>
    <w:rsid w:val="00302A36"/>
    <w:rsid w:val="003030D7"/>
    <w:rsid w:val="00303164"/>
    <w:rsid w:val="003040D8"/>
    <w:rsid w:val="0030565A"/>
    <w:rsid w:val="0030587F"/>
    <w:rsid w:val="00305F0C"/>
    <w:rsid w:val="003064FE"/>
    <w:rsid w:val="003074D8"/>
    <w:rsid w:val="003077B3"/>
    <w:rsid w:val="00307B01"/>
    <w:rsid w:val="00307B4A"/>
    <w:rsid w:val="00311A67"/>
    <w:rsid w:val="00311E11"/>
    <w:rsid w:val="00311FA9"/>
    <w:rsid w:val="003126AE"/>
    <w:rsid w:val="00312C1D"/>
    <w:rsid w:val="00312E3F"/>
    <w:rsid w:val="0031350B"/>
    <w:rsid w:val="00313587"/>
    <w:rsid w:val="003142FD"/>
    <w:rsid w:val="003146B0"/>
    <w:rsid w:val="003146D6"/>
    <w:rsid w:val="00314966"/>
    <w:rsid w:val="00314BE0"/>
    <w:rsid w:val="00314F1F"/>
    <w:rsid w:val="0031631B"/>
    <w:rsid w:val="00316533"/>
    <w:rsid w:val="00316970"/>
    <w:rsid w:val="003169E1"/>
    <w:rsid w:val="00317ED1"/>
    <w:rsid w:val="003209BB"/>
    <w:rsid w:val="003215E0"/>
    <w:rsid w:val="003220BD"/>
    <w:rsid w:val="003226F0"/>
    <w:rsid w:val="0032285D"/>
    <w:rsid w:val="00322D2F"/>
    <w:rsid w:val="0032331B"/>
    <w:rsid w:val="00323932"/>
    <w:rsid w:val="00325675"/>
    <w:rsid w:val="00325F86"/>
    <w:rsid w:val="003269F0"/>
    <w:rsid w:val="003278EB"/>
    <w:rsid w:val="00327C93"/>
    <w:rsid w:val="00330401"/>
    <w:rsid w:val="00330A46"/>
    <w:rsid w:val="0033263C"/>
    <w:rsid w:val="00332F79"/>
    <w:rsid w:val="00333688"/>
    <w:rsid w:val="00333A35"/>
    <w:rsid w:val="00334B36"/>
    <w:rsid w:val="003356DC"/>
    <w:rsid w:val="00335CCC"/>
    <w:rsid w:val="00335F35"/>
    <w:rsid w:val="003363F3"/>
    <w:rsid w:val="00336859"/>
    <w:rsid w:val="00336944"/>
    <w:rsid w:val="003372AB"/>
    <w:rsid w:val="00337545"/>
    <w:rsid w:val="0033783D"/>
    <w:rsid w:val="003406AB"/>
    <w:rsid w:val="00341F54"/>
    <w:rsid w:val="00342039"/>
    <w:rsid w:val="00342091"/>
    <w:rsid w:val="00342913"/>
    <w:rsid w:val="0034466B"/>
    <w:rsid w:val="00344804"/>
    <w:rsid w:val="00346EFA"/>
    <w:rsid w:val="00350F89"/>
    <w:rsid w:val="003529D4"/>
    <w:rsid w:val="003535CE"/>
    <w:rsid w:val="003541CB"/>
    <w:rsid w:val="0036034D"/>
    <w:rsid w:val="00360C14"/>
    <w:rsid w:val="0036168A"/>
    <w:rsid w:val="00362B9A"/>
    <w:rsid w:val="00362EE3"/>
    <w:rsid w:val="003645BC"/>
    <w:rsid w:val="003648C3"/>
    <w:rsid w:val="00364A17"/>
    <w:rsid w:val="00364EE5"/>
    <w:rsid w:val="00365E7B"/>
    <w:rsid w:val="0036630B"/>
    <w:rsid w:val="0036772D"/>
    <w:rsid w:val="00370021"/>
    <w:rsid w:val="00370067"/>
    <w:rsid w:val="00370FE4"/>
    <w:rsid w:val="003712DE"/>
    <w:rsid w:val="003718DB"/>
    <w:rsid w:val="00372093"/>
    <w:rsid w:val="003736DE"/>
    <w:rsid w:val="003738F1"/>
    <w:rsid w:val="00375393"/>
    <w:rsid w:val="003759FA"/>
    <w:rsid w:val="00375EDD"/>
    <w:rsid w:val="00376FA2"/>
    <w:rsid w:val="00377122"/>
    <w:rsid w:val="003777B5"/>
    <w:rsid w:val="0038000A"/>
    <w:rsid w:val="0038007F"/>
    <w:rsid w:val="00380B8A"/>
    <w:rsid w:val="00380E38"/>
    <w:rsid w:val="00380E48"/>
    <w:rsid w:val="0038188B"/>
    <w:rsid w:val="00381BDE"/>
    <w:rsid w:val="00381CCA"/>
    <w:rsid w:val="0038362D"/>
    <w:rsid w:val="00383DE7"/>
    <w:rsid w:val="00384F9F"/>
    <w:rsid w:val="0038579F"/>
    <w:rsid w:val="00385874"/>
    <w:rsid w:val="0038597F"/>
    <w:rsid w:val="003909A2"/>
    <w:rsid w:val="00391EB5"/>
    <w:rsid w:val="00392265"/>
    <w:rsid w:val="00392AC6"/>
    <w:rsid w:val="00393A15"/>
    <w:rsid w:val="00393DEA"/>
    <w:rsid w:val="003946E6"/>
    <w:rsid w:val="00394EE4"/>
    <w:rsid w:val="00396814"/>
    <w:rsid w:val="00396D0C"/>
    <w:rsid w:val="00397151"/>
    <w:rsid w:val="00397B01"/>
    <w:rsid w:val="00397FD1"/>
    <w:rsid w:val="003A0553"/>
    <w:rsid w:val="003A0926"/>
    <w:rsid w:val="003A1FAA"/>
    <w:rsid w:val="003A1FFA"/>
    <w:rsid w:val="003A444E"/>
    <w:rsid w:val="003A58E9"/>
    <w:rsid w:val="003A78A7"/>
    <w:rsid w:val="003A79FB"/>
    <w:rsid w:val="003B0585"/>
    <w:rsid w:val="003B066E"/>
    <w:rsid w:val="003B0F3B"/>
    <w:rsid w:val="003B14F6"/>
    <w:rsid w:val="003B1A72"/>
    <w:rsid w:val="003B2353"/>
    <w:rsid w:val="003B2FBC"/>
    <w:rsid w:val="003B3FE2"/>
    <w:rsid w:val="003B42D8"/>
    <w:rsid w:val="003B4B60"/>
    <w:rsid w:val="003B5AED"/>
    <w:rsid w:val="003B7E64"/>
    <w:rsid w:val="003B7EE8"/>
    <w:rsid w:val="003C18CE"/>
    <w:rsid w:val="003C237E"/>
    <w:rsid w:val="003C323A"/>
    <w:rsid w:val="003C3D28"/>
    <w:rsid w:val="003C455F"/>
    <w:rsid w:val="003C4CED"/>
    <w:rsid w:val="003C5A64"/>
    <w:rsid w:val="003C6EBD"/>
    <w:rsid w:val="003C750E"/>
    <w:rsid w:val="003C7907"/>
    <w:rsid w:val="003C7F17"/>
    <w:rsid w:val="003D03AE"/>
    <w:rsid w:val="003D0460"/>
    <w:rsid w:val="003D04A0"/>
    <w:rsid w:val="003D070F"/>
    <w:rsid w:val="003D09D8"/>
    <w:rsid w:val="003D1089"/>
    <w:rsid w:val="003D1633"/>
    <w:rsid w:val="003D1D73"/>
    <w:rsid w:val="003D357E"/>
    <w:rsid w:val="003D46F1"/>
    <w:rsid w:val="003D5569"/>
    <w:rsid w:val="003D6513"/>
    <w:rsid w:val="003E00FA"/>
    <w:rsid w:val="003E083A"/>
    <w:rsid w:val="003E1C2A"/>
    <w:rsid w:val="003E3CDD"/>
    <w:rsid w:val="003E4726"/>
    <w:rsid w:val="003E4DBD"/>
    <w:rsid w:val="003E6317"/>
    <w:rsid w:val="003E71B7"/>
    <w:rsid w:val="003E7A68"/>
    <w:rsid w:val="003E7B60"/>
    <w:rsid w:val="003E7ED3"/>
    <w:rsid w:val="003E7F6D"/>
    <w:rsid w:val="003F0272"/>
    <w:rsid w:val="003F031F"/>
    <w:rsid w:val="003F08C1"/>
    <w:rsid w:val="003F0AD7"/>
    <w:rsid w:val="003F2BA8"/>
    <w:rsid w:val="003F4118"/>
    <w:rsid w:val="003F4499"/>
    <w:rsid w:val="003F5554"/>
    <w:rsid w:val="003F57D2"/>
    <w:rsid w:val="00401169"/>
    <w:rsid w:val="00401365"/>
    <w:rsid w:val="00401A85"/>
    <w:rsid w:val="00403465"/>
    <w:rsid w:val="00406903"/>
    <w:rsid w:val="0040767C"/>
    <w:rsid w:val="00407CFA"/>
    <w:rsid w:val="004101F1"/>
    <w:rsid w:val="00410F68"/>
    <w:rsid w:val="0041101A"/>
    <w:rsid w:val="00411B7C"/>
    <w:rsid w:val="004151E5"/>
    <w:rsid w:val="00415641"/>
    <w:rsid w:val="00415C72"/>
    <w:rsid w:val="00417747"/>
    <w:rsid w:val="00417B69"/>
    <w:rsid w:val="00417BBC"/>
    <w:rsid w:val="004209F6"/>
    <w:rsid w:val="00420CA6"/>
    <w:rsid w:val="00421470"/>
    <w:rsid w:val="00421A67"/>
    <w:rsid w:val="004226A8"/>
    <w:rsid w:val="00422E27"/>
    <w:rsid w:val="00423A83"/>
    <w:rsid w:val="004241F2"/>
    <w:rsid w:val="00427072"/>
    <w:rsid w:val="00427D12"/>
    <w:rsid w:val="00430C9D"/>
    <w:rsid w:val="00431303"/>
    <w:rsid w:val="00431605"/>
    <w:rsid w:val="004317E7"/>
    <w:rsid w:val="00431BD7"/>
    <w:rsid w:val="0043259D"/>
    <w:rsid w:val="004326CB"/>
    <w:rsid w:val="0043364E"/>
    <w:rsid w:val="004337CA"/>
    <w:rsid w:val="004339F5"/>
    <w:rsid w:val="00434DB0"/>
    <w:rsid w:val="0043521F"/>
    <w:rsid w:val="004369E9"/>
    <w:rsid w:val="00437FB0"/>
    <w:rsid w:val="00440A9B"/>
    <w:rsid w:val="00441CB7"/>
    <w:rsid w:val="00442959"/>
    <w:rsid w:val="00442B95"/>
    <w:rsid w:val="00443E05"/>
    <w:rsid w:val="004440BA"/>
    <w:rsid w:val="004450FB"/>
    <w:rsid w:val="00445797"/>
    <w:rsid w:val="00445F7F"/>
    <w:rsid w:val="0044721A"/>
    <w:rsid w:val="00447302"/>
    <w:rsid w:val="0044758E"/>
    <w:rsid w:val="004476CA"/>
    <w:rsid w:val="00447F3E"/>
    <w:rsid w:val="004504D9"/>
    <w:rsid w:val="00451AAB"/>
    <w:rsid w:val="0045391C"/>
    <w:rsid w:val="00453DFE"/>
    <w:rsid w:val="00454592"/>
    <w:rsid w:val="00455971"/>
    <w:rsid w:val="00456CD2"/>
    <w:rsid w:val="00457209"/>
    <w:rsid w:val="00457EE1"/>
    <w:rsid w:val="004600C7"/>
    <w:rsid w:val="0046037D"/>
    <w:rsid w:val="004607EA"/>
    <w:rsid w:val="004610B6"/>
    <w:rsid w:val="004638B4"/>
    <w:rsid w:val="00463D21"/>
    <w:rsid w:val="00463E85"/>
    <w:rsid w:val="00465181"/>
    <w:rsid w:val="004656EA"/>
    <w:rsid w:val="00465EB7"/>
    <w:rsid w:val="00465FAF"/>
    <w:rsid w:val="00466B16"/>
    <w:rsid w:val="00466CA2"/>
    <w:rsid w:val="00467E83"/>
    <w:rsid w:val="00470778"/>
    <w:rsid w:val="00470B22"/>
    <w:rsid w:val="004716E4"/>
    <w:rsid w:val="0047269D"/>
    <w:rsid w:val="00472728"/>
    <w:rsid w:val="00472B29"/>
    <w:rsid w:val="00472DC5"/>
    <w:rsid w:val="00473003"/>
    <w:rsid w:val="00473333"/>
    <w:rsid w:val="0047337D"/>
    <w:rsid w:val="00473D73"/>
    <w:rsid w:val="004743FF"/>
    <w:rsid w:val="00474913"/>
    <w:rsid w:val="00474C3C"/>
    <w:rsid w:val="00475D28"/>
    <w:rsid w:val="004762C9"/>
    <w:rsid w:val="00476368"/>
    <w:rsid w:val="004776FB"/>
    <w:rsid w:val="004779D6"/>
    <w:rsid w:val="00480FE5"/>
    <w:rsid w:val="00481EE3"/>
    <w:rsid w:val="004822D6"/>
    <w:rsid w:val="0048348C"/>
    <w:rsid w:val="0048387A"/>
    <w:rsid w:val="00483D06"/>
    <w:rsid w:val="004841C3"/>
    <w:rsid w:val="004843C9"/>
    <w:rsid w:val="0048441B"/>
    <w:rsid w:val="00486346"/>
    <w:rsid w:val="004876BB"/>
    <w:rsid w:val="00487B5D"/>
    <w:rsid w:val="00487D04"/>
    <w:rsid w:val="004901C9"/>
    <w:rsid w:val="00490B2D"/>
    <w:rsid w:val="00491411"/>
    <w:rsid w:val="00491706"/>
    <w:rsid w:val="00493AC3"/>
    <w:rsid w:val="00493E36"/>
    <w:rsid w:val="00495E53"/>
    <w:rsid w:val="00496279"/>
    <w:rsid w:val="004962D2"/>
    <w:rsid w:val="00496518"/>
    <w:rsid w:val="00496A6E"/>
    <w:rsid w:val="004977DA"/>
    <w:rsid w:val="004A016E"/>
    <w:rsid w:val="004A09AB"/>
    <w:rsid w:val="004A1372"/>
    <w:rsid w:val="004A170F"/>
    <w:rsid w:val="004A2A82"/>
    <w:rsid w:val="004A4DB0"/>
    <w:rsid w:val="004A519B"/>
    <w:rsid w:val="004A53E7"/>
    <w:rsid w:val="004A5A3E"/>
    <w:rsid w:val="004A7F7B"/>
    <w:rsid w:val="004A7FBC"/>
    <w:rsid w:val="004B18EA"/>
    <w:rsid w:val="004B1D4D"/>
    <w:rsid w:val="004B350E"/>
    <w:rsid w:val="004B37DE"/>
    <w:rsid w:val="004B4871"/>
    <w:rsid w:val="004B5059"/>
    <w:rsid w:val="004B5B91"/>
    <w:rsid w:val="004B5DF7"/>
    <w:rsid w:val="004B5EFA"/>
    <w:rsid w:val="004B6026"/>
    <w:rsid w:val="004B6861"/>
    <w:rsid w:val="004B7990"/>
    <w:rsid w:val="004B7CF2"/>
    <w:rsid w:val="004C0279"/>
    <w:rsid w:val="004C036D"/>
    <w:rsid w:val="004C0B6E"/>
    <w:rsid w:val="004C1340"/>
    <w:rsid w:val="004C1FE4"/>
    <w:rsid w:val="004C2F84"/>
    <w:rsid w:val="004C3887"/>
    <w:rsid w:val="004C38BD"/>
    <w:rsid w:val="004C3D5D"/>
    <w:rsid w:val="004C3EBD"/>
    <w:rsid w:val="004C44E8"/>
    <w:rsid w:val="004C498E"/>
    <w:rsid w:val="004C4F6F"/>
    <w:rsid w:val="004C5885"/>
    <w:rsid w:val="004C6DDA"/>
    <w:rsid w:val="004C6F15"/>
    <w:rsid w:val="004D13E4"/>
    <w:rsid w:val="004D1EFB"/>
    <w:rsid w:val="004D3490"/>
    <w:rsid w:val="004D499C"/>
    <w:rsid w:val="004D55EA"/>
    <w:rsid w:val="004D716B"/>
    <w:rsid w:val="004D759F"/>
    <w:rsid w:val="004D7C05"/>
    <w:rsid w:val="004E006F"/>
    <w:rsid w:val="004E06C3"/>
    <w:rsid w:val="004E0F3C"/>
    <w:rsid w:val="004E1549"/>
    <w:rsid w:val="004E16E6"/>
    <w:rsid w:val="004E38B3"/>
    <w:rsid w:val="004E39F3"/>
    <w:rsid w:val="004E3AA1"/>
    <w:rsid w:val="004E3BEC"/>
    <w:rsid w:val="004E58E5"/>
    <w:rsid w:val="004E6304"/>
    <w:rsid w:val="004E64F0"/>
    <w:rsid w:val="004E6833"/>
    <w:rsid w:val="004E6FA6"/>
    <w:rsid w:val="004E723F"/>
    <w:rsid w:val="004E7A20"/>
    <w:rsid w:val="004F0CA6"/>
    <w:rsid w:val="004F1C58"/>
    <w:rsid w:val="004F1E5E"/>
    <w:rsid w:val="004F2478"/>
    <w:rsid w:val="004F2E12"/>
    <w:rsid w:val="004F3262"/>
    <w:rsid w:val="004F332B"/>
    <w:rsid w:val="004F3330"/>
    <w:rsid w:val="004F36A2"/>
    <w:rsid w:val="004F3E69"/>
    <w:rsid w:val="004F40F4"/>
    <w:rsid w:val="004F41D3"/>
    <w:rsid w:val="004F4C4D"/>
    <w:rsid w:val="004F4EBC"/>
    <w:rsid w:val="004F57F1"/>
    <w:rsid w:val="004F5A8B"/>
    <w:rsid w:val="004F5D28"/>
    <w:rsid w:val="004F6376"/>
    <w:rsid w:val="004F7CB6"/>
    <w:rsid w:val="004F7F18"/>
    <w:rsid w:val="00500140"/>
    <w:rsid w:val="00500BE7"/>
    <w:rsid w:val="00500F3F"/>
    <w:rsid w:val="00501280"/>
    <w:rsid w:val="00501308"/>
    <w:rsid w:val="00502292"/>
    <w:rsid w:val="00502897"/>
    <w:rsid w:val="00503AE4"/>
    <w:rsid w:val="00503D99"/>
    <w:rsid w:val="005045BA"/>
    <w:rsid w:val="00505213"/>
    <w:rsid w:val="0050552F"/>
    <w:rsid w:val="00505661"/>
    <w:rsid w:val="00505AA2"/>
    <w:rsid w:val="005062F4"/>
    <w:rsid w:val="00510435"/>
    <w:rsid w:val="00510FA6"/>
    <w:rsid w:val="005119D2"/>
    <w:rsid w:val="00512AB0"/>
    <w:rsid w:val="005131D8"/>
    <w:rsid w:val="00514976"/>
    <w:rsid w:val="00516177"/>
    <w:rsid w:val="00520E52"/>
    <w:rsid w:val="00520FC7"/>
    <w:rsid w:val="005227BB"/>
    <w:rsid w:val="0052307E"/>
    <w:rsid w:val="00523642"/>
    <w:rsid w:val="005240E6"/>
    <w:rsid w:val="00524110"/>
    <w:rsid w:val="005256F9"/>
    <w:rsid w:val="00526B7C"/>
    <w:rsid w:val="00527B5D"/>
    <w:rsid w:val="00527D60"/>
    <w:rsid w:val="00531720"/>
    <w:rsid w:val="0053254B"/>
    <w:rsid w:val="00532DDD"/>
    <w:rsid w:val="0053308B"/>
    <w:rsid w:val="005343D5"/>
    <w:rsid w:val="00534F88"/>
    <w:rsid w:val="00536087"/>
    <w:rsid w:val="00537779"/>
    <w:rsid w:val="00542E4A"/>
    <w:rsid w:val="00543083"/>
    <w:rsid w:val="005434E7"/>
    <w:rsid w:val="005440A1"/>
    <w:rsid w:val="00544FD6"/>
    <w:rsid w:val="0054651E"/>
    <w:rsid w:val="005500BE"/>
    <w:rsid w:val="005500FD"/>
    <w:rsid w:val="00550355"/>
    <w:rsid w:val="0055091D"/>
    <w:rsid w:val="0055158B"/>
    <w:rsid w:val="0055176C"/>
    <w:rsid w:val="00552259"/>
    <w:rsid w:val="00552BCF"/>
    <w:rsid w:val="005533A6"/>
    <w:rsid w:val="00553431"/>
    <w:rsid w:val="00555475"/>
    <w:rsid w:val="005559FD"/>
    <w:rsid w:val="00555CF2"/>
    <w:rsid w:val="00556014"/>
    <w:rsid w:val="005568CE"/>
    <w:rsid w:val="0055724C"/>
    <w:rsid w:val="00560012"/>
    <w:rsid w:val="005604C8"/>
    <w:rsid w:val="005605CF"/>
    <w:rsid w:val="00560A49"/>
    <w:rsid w:val="00560F93"/>
    <w:rsid w:val="00561556"/>
    <w:rsid w:val="00561FD6"/>
    <w:rsid w:val="00562A0C"/>
    <w:rsid w:val="0056623A"/>
    <w:rsid w:val="00566C79"/>
    <w:rsid w:val="0056769E"/>
    <w:rsid w:val="005719A9"/>
    <w:rsid w:val="00571A07"/>
    <w:rsid w:val="0057219F"/>
    <w:rsid w:val="00573AF6"/>
    <w:rsid w:val="00573EFB"/>
    <w:rsid w:val="00574E7D"/>
    <w:rsid w:val="00575028"/>
    <w:rsid w:val="005767DF"/>
    <w:rsid w:val="00577E7F"/>
    <w:rsid w:val="00580397"/>
    <w:rsid w:val="00580E33"/>
    <w:rsid w:val="00580FA1"/>
    <w:rsid w:val="00580FB2"/>
    <w:rsid w:val="00581EB5"/>
    <w:rsid w:val="00582355"/>
    <w:rsid w:val="00582D45"/>
    <w:rsid w:val="005836A3"/>
    <w:rsid w:val="00583FC8"/>
    <w:rsid w:val="00584AA2"/>
    <w:rsid w:val="00584BFE"/>
    <w:rsid w:val="00584C0C"/>
    <w:rsid w:val="005859CD"/>
    <w:rsid w:val="00585CCD"/>
    <w:rsid w:val="005862F9"/>
    <w:rsid w:val="005867AE"/>
    <w:rsid w:val="00586A6E"/>
    <w:rsid w:val="00587EE0"/>
    <w:rsid w:val="00590CBE"/>
    <w:rsid w:val="00591070"/>
    <w:rsid w:val="00591A39"/>
    <w:rsid w:val="00591ADA"/>
    <w:rsid w:val="00594704"/>
    <w:rsid w:val="00594978"/>
    <w:rsid w:val="00594EFF"/>
    <w:rsid w:val="0059543C"/>
    <w:rsid w:val="00596664"/>
    <w:rsid w:val="00597FD4"/>
    <w:rsid w:val="005A1713"/>
    <w:rsid w:val="005A1A36"/>
    <w:rsid w:val="005A1B0A"/>
    <w:rsid w:val="005A1D3F"/>
    <w:rsid w:val="005A1FAA"/>
    <w:rsid w:val="005A30EB"/>
    <w:rsid w:val="005A365F"/>
    <w:rsid w:val="005A3ADD"/>
    <w:rsid w:val="005A5BB5"/>
    <w:rsid w:val="005A5DD5"/>
    <w:rsid w:val="005A6500"/>
    <w:rsid w:val="005A6820"/>
    <w:rsid w:val="005A7CE5"/>
    <w:rsid w:val="005B0A3B"/>
    <w:rsid w:val="005B14FD"/>
    <w:rsid w:val="005B1604"/>
    <w:rsid w:val="005B21CB"/>
    <w:rsid w:val="005B26BF"/>
    <w:rsid w:val="005B2B9A"/>
    <w:rsid w:val="005B336A"/>
    <w:rsid w:val="005B33E8"/>
    <w:rsid w:val="005B3BC9"/>
    <w:rsid w:val="005B3D4D"/>
    <w:rsid w:val="005B685E"/>
    <w:rsid w:val="005B6963"/>
    <w:rsid w:val="005B7F51"/>
    <w:rsid w:val="005C0117"/>
    <w:rsid w:val="005C04D7"/>
    <w:rsid w:val="005C6417"/>
    <w:rsid w:val="005C7568"/>
    <w:rsid w:val="005D2499"/>
    <w:rsid w:val="005D46EA"/>
    <w:rsid w:val="005D4FAA"/>
    <w:rsid w:val="005D566E"/>
    <w:rsid w:val="005E0302"/>
    <w:rsid w:val="005E0886"/>
    <w:rsid w:val="005E243B"/>
    <w:rsid w:val="005E27B3"/>
    <w:rsid w:val="005E3253"/>
    <w:rsid w:val="005E368E"/>
    <w:rsid w:val="005E3881"/>
    <w:rsid w:val="005E3A20"/>
    <w:rsid w:val="005E4EAB"/>
    <w:rsid w:val="005E5668"/>
    <w:rsid w:val="005E5788"/>
    <w:rsid w:val="005E5E8B"/>
    <w:rsid w:val="005E73DF"/>
    <w:rsid w:val="005E7678"/>
    <w:rsid w:val="005E77ED"/>
    <w:rsid w:val="005F36F0"/>
    <w:rsid w:val="005F4DFE"/>
    <w:rsid w:val="005F665A"/>
    <w:rsid w:val="005F66C8"/>
    <w:rsid w:val="005F6B69"/>
    <w:rsid w:val="005F6E87"/>
    <w:rsid w:val="005F7CD3"/>
    <w:rsid w:val="005F7CDC"/>
    <w:rsid w:val="00601843"/>
    <w:rsid w:val="0060267D"/>
    <w:rsid w:val="00603941"/>
    <w:rsid w:val="00603A4A"/>
    <w:rsid w:val="00604600"/>
    <w:rsid w:val="00605731"/>
    <w:rsid w:val="00605D18"/>
    <w:rsid w:val="006065CD"/>
    <w:rsid w:val="0060733E"/>
    <w:rsid w:val="0060746E"/>
    <w:rsid w:val="00607800"/>
    <w:rsid w:val="00607A7E"/>
    <w:rsid w:val="0061122C"/>
    <w:rsid w:val="0061137F"/>
    <w:rsid w:val="0061279E"/>
    <w:rsid w:val="00612904"/>
    <w:rsid w:val="00612C03"/>
    <w:rsid w:val="00614034"/>
    <w:rsid w:val="00614057"/>
    <w:rsid w:val="006146AA"/>
    <w:rsid w:val="00614D50"/>
    <w:rsid w:val="00615240"/>
    <w:rsid w:val="00617459"/>
    <w:rsid w:val="00620628"/>
    <w:rsid w:val="00620942"/>
    <w:rsid w:val="006214DA"/>
    <w:rsid w:val="006221C0"/>
    <w:rsid w:val="00622294"/>
    <w:rsid w:val="0062411A"/>
    <w:rsid w:val="006246C9"/>
    <w:rsid w:val="0062475A"/>
    <w:rsid w:val="006259BB"/>
    <w:rsid w:val="00626322"/>
    <w:rsid w:val="006268F3"/>
    <w:rsid w:val="00626ABB"/>
    <w:rsid w:val="006276AC"/>
    <w:rsid w:val="006304DE"/>
    <w:rsid w:val="00630676"/>
    <w:rsid w:val="006308E8"/>
    <w:rsid w:val="00630A8A"/>
    <w:rsid w:val="00630FE5"/>
    <w:rsid w:val="0063276D"/>
    <w:rsid w:val="00632EAA"/>
    <w:rsid w:val="00634070"/>
    <w:rsid w:val="00634756"/>
    <w:rsid w:val="0063675E"/>
    <w:rsid w:val="00636DBE"/>
    <w:rsid w:val="00637ABC"/>
    <w:rsid w:val="00640BE3"/>
    <w:rsid w:val="006423D9"/>
    <w:rsid w:val="00642548"/>
    <w:rsid w:val="00642FD9"/>
    <w:rsid w:val="00643A42"/>
    <w:rsid w:val="00644819"/>
    <w:rsid w:val="00644A7E"/>
    <w:rsid w:val="006457E1"/>
    <w:rsid w:val="0064584B"/>
    <w:rsid w:val="00645C55"/>
    <w:rsid w:val="00645D15"/>
    <w:rsid w:val="00645DBD"/>
    <w:rsid w:val="006501EE"/>
    <w:rsid w:val="0065022E"/>
    <w:rsid w:val="00650944"/>
    <w:rsid w:val="0065216A"/>
    <w:rsid w:val="00652A4F"/>
    <w:rsid w:val="00653E9B"/>
    <w:rsid w:val="0065478C"/>
    <w:rsid w:val="00655260"/>
    <w:rsid w:val="006553A2"/>
    <w:rsid w:val="00656486"/>
    <w:rsid w:val="00660339"/>
    <w:rsid w:val="00660A4C"/>
    <w:rsid w:val="006629C8"/>
    <w:rsid w:val="00662C6F"/>
    <w:rsid w:val="00663451"/>
    <w:rsid w:val="0066396D"/>
    <w:rsid w:val="00665757"/>
    <w:rsid w:val="00666F8E"/>
    <w:rsid w:val="00670279"/>
    <w:rsid w:val="006707A1"/>
    <w:rsid w:val="00671ADF"/>
    <w:rsid w:val="00671C09"/>
    <w:rsid w:val="006725C1"/>
    <w:rsid w:val="006728FE"/>
    <w:rsid w:val="00672F9F"/>
    <w:rsid w:val="00673D83"/>
    <w:rsid w:val="00674865"/>
    <w:rsid w:val="006751A5"/>
    <w:rsid w:val="00675412"/>
    <w:rsid w:val="006765E9"/>
    <w:rsid w:val="00676B7D"/>
    <w:rsid w:val="00676C52"/>
    <w:rsid w:val="00676CDC"/>
    <w:rsid w:val="0067732F"/>
    <w:rsid w:val="00677367"/>
    <w:rsid w:val="00680351"/>
    <w:rsid w:val="006805D5"/>
    <w:rsid w:val="00681486"/>
    <w:rsid w:val="00681783"/>
    <w:rsid w:val="00682B47"/>
    <w:rsid w:val="00682B87"/>
    <w:rsid w:val="00682DA4"/>
    <w:rsid w:val="00683E1A"/>
    <w:rsid w:val="006853BD"/>
    <w:rsid w:val="00685B2F"/>
    <w:rsid w:val="0068688D"/>
    <w:rsid w:val="00686E49"/>
    <w:rsid w:val="00687C5A"/>
    <w:rsid w:val="00690174"/>
    <w:rsid w:val="00690588"/>
    <w:rsid w:val="0069110E"/>
    <w:rsid w:val="00692029"/>
    <w:rsid w:val="00693354"/>
    <w:rsid w:val="0069353B"/>
    <w:rsid w:val="006936D5"/>
    <w:rsid w:val="00693AAB"/>
    <w:rsid w:val="00693B45"/>
    <w:rsid w:val="00694CCE"/>
    <w:rsid w:val="0069536D"/>
    <w:rsid w:val="00695883"/>
    <w:rsid w:val="0069605C"/>
    <w:rsid w:val="00696B95"/>
    <w:rsid w:val="00697748"/>
    <w:rsid w:val="00697925"/>
    <w:rsid w:val="00697F17"/>
    <w:rsid w:val="006A26ED"/>
    <w:rsid w:val="006A288A"/>
    <w:rsid w:val="006A2991"/>
    <w:rsid w:val="006A389B"/>
    <w:rsid w:val="006A39F1"/>
    <w:rsid w:val="006A45A7"/>
    <w:rsid w:val="006A476A"/>
    <w:rsid w:val="006A49D8"/>
    <w:rsid w:val="006A5421"/>
    <w:rsid w:val="006A559E"/>
    <w:rsid w:val="006A64A1"/>
    <w:rsid w:val="006A6BA0"/>
    <w:rsid w:val="006B0B94"/>
    <w:rsid w:val="006B0BB7"/>
    <w:rsid w:val="006B19D3"/>
    <w:rsid w:val="006B1A82"/>
    <w:rsid w:val="006B1BD4"/>
    <w:rsid w:val="006B203F"/>
    <w:rsid w:val="006B257F"/>
    <w:rsid w:val="006B313B"/>
    <w:rsid w:val="006B49EC"/>
    <w:rsid w:val="006B4E7B"/>
    <w:rsid w:val="006B5D1B"/>
    <w:rsid w:val="006B5FD8"/>
    <w:rsid w:val="006B61E7"/>
    <w:rsid w:val="006B76F2"/>
    <w:rsid w:val="006B77EE"/>
    <w:rsid w:val="006B7918"/>
    <w:rsid w:val="006C09CB"/>
    <w:rsid w:val="006C139C"/>
    <w:rsid w:val="006C1614"/>
    <w:rsid w:val="006C3F55"/>
    <w:rsid w:val="006C4E9E"/>
    <w:rsid w:val="006C598B"/>
    <w:rsid w:val="006C613E"/>
    <w:rsid w:val="006C64AA"/>
    <w:rsid w:val="006C6659"/>
    <w:rsid w:val="006C751A"/>
    <w:rsid w:val="006C7BDE"/>
    <w:rsid w:val="006D0305"/>
    <w:rsid w:val="006D0AEC"/>
    <w:rsid w:val="006D188E"/>
    <w:rsid w:val="006D2ACD"/>
    <w:rsid w:val="006D2B74"/>
    <w:rsid w:val="006D5356"/>
    <w:rsid w:val="006D58CE"/>
    <w:rsid w:val="006D68F1"/>
    <w:rsid w:val="006D7065"/>
    <w:rsid w:val="006E2E53"/>
    <w:rsid w:val="006E31D9"/>
    <w:rsid w:val="006E57D3"/>
    <w:rsid w:val="006E5B89"/>
    <w:rsid w:val="006E5CEC"/>
    <w:rsid w:val="006E64E2"/>
    <w:rsid w:val="006E7A68"/>
    <w:rsid w:val="006E7D6C"/>
    <w:rsid w:val="006F086B"/>
    <w:rsid w:val="006F103D"/>
    <w:rsid w:val="006F161D"/>
    <w:rsid w:val="006F1B13"/>
    <w:rsid w:val="006F31B9"/>
    <w:rsid w:val="006F4F52"/>
    <w:rsid w:val="006F5310"/>
    <w:rsid w:val="006F5843"/>
    <w:rsid w:val="006F6C83"/>
    <w:rsid w:val="006F783B"/>
    <w:rsid w:val="006F7BE3"/>
    <w:rsid w:val="0070113E"/>
    <w:rsid w:val="0070150F"/>
    <w:rsid w:val="00701DDD"/>
    <w:rsid w:val="007026D3"/>
    <w:rsid w:val="0070283B"/>
    <w:rsid w:val="00702DF3"/>
    <w:rsid w:val="00703052"/>
    <w:rsid w:val="00703ABB"/>
    <w:rsid w:val="00704642"/>
    <w:rsid w:val="007049B7"/>
    <w:rsid w:val="0070562F"/>
    <w:rsid w:val="007060AB"/>
    <w:rsid w:val="007066F4"/>
    <w:rsid w:val="00706749"/>
    <w:rsid w:val="007068C8"/>
    <w:rsid w:val="0070719A"/>
    <w:rsid w:val="007076B3"/>
    <w:rsid w:val="00707F3F"/>
    <w:rsid w:val="00710372"/>
    <w:rsid w:val="00710B2F"/>
    <w:rsid w:val="00710F02"/>
    <w:rsid w:val="007116B2"/>
    <w:rsid w:val="00711992"/>
    <w:rsid w:val="0071273C"/>
    <w:rsid w:val="00715717"/>
    <w:rsid w:val="00716A2C"/>
    <w:rsid w:val="00717026"/>
    <w:rsid w:val="00717C7B"/>
    <w:rsid w:val="00717DAD"/>
    <w:rsid w:val="007205E8"/>
    <w:rsid w:val="00720E51"/>
    <w:rsid w:val="007214B7"/>
    <w:rsid w:val="00723162"/>
    <w:rsid w:val="007233A8"/>
    <w:rsid w:val="00724FE4"/>
    <w:rsid w:val="00725D1A"/>
    <w:rsid w:val="00730E88"/>
    <w:rsid w:val="007323CD"/>
    <w:rsid w:val="00733B24"/>
    <w:rsid w:val="007340EE"/>
    <w:rsid w:val="00734C38"/>
    <w:rsid w:val="00734C7D"/>
    <w:rsid w:val="007365F0"/>
    <w:rsid w:val="00736A6E"/>
    <w:rsid w:val="00737D18"/>
    <w:rsid w:val="007424C3"/>
    <w:rsid w:val="00742CA2"/>
    <w:rsid w:val="00742DE8"/>
    <w:rsid w:val="00742E73"/>
    <w:rsid w:val="00743D96"/>
    <w:rsid w:val="007444E6"/>
    <w:rsid w:val="007469DD"/>
    <w:rsid w:val="00746F03"/>
    <w:rsid w:val="00751FB3"/>
    <w:rsid w:val="0075261C"/>
    <w:rsid w:val="007528F3"/>
    <w:rsid w:val="00753018"/>
    <w:rsid w:val="00753E76"/>
    <w:rsid w:val="007544EA"/>
    <w:rsid w:val="007548A8"/>
    <w:rsid w:val="00754B0A"/>
    <w:rsid w:val="00754BE8"/>
    <w:rsid w:val="00754D34"/>
    <w:rsid w:val="00755002"/>
    <w:rsid w:val="0075573A"/>
    <w:rsid w:val="007574C4"/>
    <w:rsid w:val="00757660"/>
    <w:rsid w:val="00757754"/>
    <w:rsid w:val="007607D7"/>
    <w:rsid w:val="007608DE"/>
    <w:rsid w:val="0076121E"/>
    <w:rsid w:val="00761F10"/>
    <w:rsid w:val="00762457"/>
    <w:rsid w:val="00763AE2"/>
    <w:rsid w:val="007643D9"/>
    <w:rsid w:val="00765C23"/>
    <w:rsid w:val="007662FC"/>
    <w:rsid w:val="00766326"/>
    <w:rsid w:val="00766511"/>
    <w:rsid w:val="00766CC0"/>
    <w:rsid w:val="00770327"/>
    <w:rsid w:val="0077161C"/>
    <w:rsid w:val="007720E1"/>
    <w:rsid w:val="00772677"/>
    <w:rsid w:val="00772D3E"/>
    <w:rsid w:val="007733D0"/>
    <w:rsid w:val="0077356F"/>
    <w:rsid w:val="007744E8"/>
    <w:rsid w:val="00775069"/>
    <w:rsid w:val="007754DF"/>
    <w:rsid w:val="00775979"/>
    <w:rsid w:val="007764BA"/>
    <w:rsid w:val="00776E2F"/>
    <w:rsid w:val="00780696"/>
    <w:rsid w:val="007807A9"/>
    <w:rsid w:val="007809AF"/>
    <w:rsid w:val="00780D4D"/>
    <w:rsid w:val="00781158"/>
    <w:rsid w:val="00781446"/>
    <w:rsid w:val="007828F3"/>
    <w:rsid w:val="00783809"/>
    <w:rsid w:val="00783DE6"/>
    <w:rsid w:val="0079006D"/>
    <w:rsid w:val="0079022D"/>
    <w:rsid w:val="00790CEB"/>
    <w:rsid w:val="0079106D"/>
    <w:rsid w:val="00791612"/>
    <w:rsid w:val="00791C24"/>
    <w:rsid w:val="0079256D"/>
    <w:rsid w:val="00793177"/>
    <w:rsid w:val="0079326E"/>
    <w:rsid w:val="007935A5"/>
    <w:rsid w:val="00794408"/>
    <w:rsid w:val="00794CBE"/>
    <w:rsid w:val="00795A0C"/>
    <w:rsid w:val="00797428"/>
    <w:rsid w:val="00797622"/>
    <w:rsid w:val="007977FD"/>
    <w:rsid w:val="007979C7"/>
    <w:rsid w:val="00797D46"/>
    <w:rsid w:val="00797ECF"/>
    <w:rsid w:val="007A2179"/>
    <w:rsid w:val="007A25FA"/>
    <w:rsid w:val="007A2B0B"/>
    <w:rsid w:val="007A2B84"/>
    <w:rsid w:val="007A37F7"/>
    <w:rsid w:val="007A550B"/>
    <w:rsid w:val="007A55CC"/>
    <w:rsid w:val="007A5E95"/>
    <w:rsid w:val="007A60F5"/>
    <w:rsid w:val="007A793E"/>
    <w:rsid w:val="007A7EE8"/>
    <w:rsid w:val="007A7EF6"/>
    <w:rsid w:val="007B04D6"/>
    <w:rsid w:val="007B15E1"/>
    <w:rsid w:val="007B1E0D"/>
    <w:rsid w:val="007B3263"/>
    <w:rsid w:val="007B4141"/>
    <w:rsid w:val="007B41B2"/>
    <w:rsid w:val="007B56EE"/>
    <w:rsid w:val="007B5C3C"/>
    <w:rsid w:val="007B727B"/>
    <w:rsid w:val="007B744D"/>
    <w:rsid w:val="007B7954"/>
    <w:rsid w:val="007B7B8F"/>
    <w:rsid w:val="007B7D3C"/>
    <w:rsid w:val="007C0473"/>
    <w:rsid w:val="007C0D92"/>
    <w:rsid w:val="007C1BAB"/>
    <w:rsid w:val="007C25F3"/>
    <w:rsid w:val="007C37C5"/>
    <w:rsid w:val="007C43F6"/>
    <w:rsid w:val="007C620E"/>
    <w:rsid w:val="007C6E4E"/>
    <w:rsid w:val="007D02E4"/>
    <w:rsid w:val="007D0FDE"/>
    <w:rsid w:val="007D157B"/>
    <w:rsid w:val="007D1E0C"/>
    <w:rsid w:val="007D1FD9"/>
    <w:rsid w:val="007D24D1"/>
    <w:rsid w:val="007D27C1"/>
    <w:rsid w:val="007D294D"/>
    <w:rsid w:val="007D4746"/>
    <w:rsid w:val="007D52D0"/>
    <w:rsid w:val="007D5F61"/>
    <w:rsid w:val="007D6625"/>
    <w:rsid w:val="007D7D7A"/>
    <w:rsid w:val="007E008D"/>
    <w:rsid w:val="007E0128"/>
    <w:rsid w:val="007E07AB"/>
    <w:rsid w:val="007E1406"/>
    <w:rsid w:val="007E19E6"/>
    <w:rsid w:val="007E24B1"/>
    <w:rsid w:val="007E2CD0"/>
    <w:rsid w:val="007E4034"/>
    <w:rsid w:val="007E414C"/>
    <w:rsid w:val="007E523C"/>
    <w:rsid w:val="007E5D77"/>
    <w:rsid w:val="007E5E42"/>
    <w:rsid w:val="007E6CF6"/>
    <w:rsid w:val="007E7882"/>
    <w:rsid w:val="007E7943"/>
    <w:rsid w:val="007F078C"/>
    <w:rsid w:val="007F0FD1"/>
    <w:rsid w:val="007F23FE"/>
    <w:rsid w:val="007F30CD"/>
    <w:rsid w:val="007F31B8"/>
    <w:rsid w:val="007F3608"/>
    <w:rsid w:val="007F4289"/>
    <w:rsid w:val="007F4FB1"/>
    <w:rsid w:val="007F5105"/>
    <w:rsid w:val="007F5115"/>
    <w:rsid w:val="007F5EAD"/>
    <w:rsid w:val="007F6CCD"/>
    <w:rsid w:val="007F6DE0"/>
    <w:rsid w:val="007F7674"/>
    <w:rsid w:val="007F7D36"/>
    <w:rsid w:val="00800693"/>
    <w:rsid w:val="008007BB"/>
    <w:rsid w:val="00800B51"/>
    <w:rsid w:val="00802366"/>
    <w:rsid w:val="00803359"/>
    <w:rsid w:val="00803587"/>
    <w:rsid w:val="00803A8E"/>
    <w:rsid w:val="008043AF"/>
    <w:rsid w:val="0080521F"/>
    <w:rsid w:val="00805810"/>
    <w:rsid w:val="00805C01"/>
    <w:rsid w:val="00806006"/>
    <w:rsid w:val="00806070"/>
    <w:rsid w:val="0080662B"/>
    <w:rsid w:val="00806C33"/>
    <w:rsid w:val="00807368"/>
    <w:rsid w:val="008118FC"/>
    <w:rsid w:val="00811998"/>
    <w:rsid w:val="00811BD3"/>
    <w:rsid w:val="00814B48"/>
    <w:rsid w:val="00815001"/>
    <w:rsid w:val="00815481"/>
    <w:rsid w:val="00815B6D"/>
    <w:rsid w:val="008160EB"/>
    <w:rsid w:val="00820C60"/>
    <w:rsid w:val="00820EBC"/>
    <w:rsid w:val="0082117A"/>
    <w:rsid w:val="00821B48"/>
    <w:rsid w:val="00822D80"/>
    <w:rsid w:val="00822F6F"/>
    <w:rsid w:val="00823448"/>
    <w:rsid w:val="008236E7"/>
    <w:rsid w:val="0082609A"/>
    <w:rsid w:val="0082744B"/>
    <w:rsid w:val="00827D32"/>
    <w:rsid w:val="00830734"/>
    <w:rsid w:val="00831B03"/>
    <w:rsid w:val="00831E6A"/>
    <w:rsid w:val="00831F4D"/>
    <w:rsid w:val="00833000"/>
    <w:rsid w:val="008338CD"/>
    <w:rsid w:val="008345C3"/>
    <w:rsid w:val="0083487D"/>
    <w:rsid w:val="00834B4C"/>
    <w:rsid w:val="00834E29"/>
    <w:rsid w:val="008350DF"/>
    <w:rsid w:val="00835B02"/>
    <w:rsid w:val="00835C2A"/>
    <w:rsid w:val="00835EC1"/>
    <w:rsid w:val="00836122"/>
    <w:rsid w:val="00837BA5"/>
    <w:rsid w:val="00841641"/>
    <w:rsid w:val="008422BB"/>
    <w:rsid w:val="008422E8"/>
    <w:rsid w:val="008433D2"/>
    <w:rsid w:val="00845A6F"/>
    <w:rsid w:val="008476FE"/>
    <w:rsid w:val="008500E9"/>
    <w:rsid w:val="00850279"/>
    <w:rsid w:val="00850D35"/>
    <w:rsid w:val="0085244A"/>
    <w:rsid w:val="00852797"/>
    <w:rsid w:val="00852D8F"/>
    <w:rsid w:val="00853C57"/>
    <w:rsid w:val="00853DA9"/>
    <w:rsid w:val="00854EE3"/>
    <w:rsid w:val="00855D78"/>
    <w:rsid w:val="0085793B"/>
    <w:rsid w:val="00857E4A"/>
    <w:rsid w:val="008603D1"/>
    <w:rsid w:val="008606BD"/>
    <w:rsid w:val="008625D6"/>
    <w:rsid w:val="00862F82"/>
    <w:rsid w:val="008635F0"/>
    <w:rsid w:val="00863EA7"/>
    <w:rsid w:val="00864409"/>
    <w:rsid w:val="0086443E"/>
    <w:rsid w:val="00864A9D"/>
    <w:rsid w:val="008650C0"/>
    <w:rsid w:val="0086514D"/>
    <w:rsid w:val="008656DC"/>
    <w:rsid w:val="008661C0"/>
    <w:rsid w:val="00866DF1"/>
    <w:rsid w:val="00867075"/>
    <w:rsid w:val="008677D7"/>
    <w:rsid w:val="0087027E"/>
    <w:rsid w:val="00871515"/>
    <w:rsid w:val="008731AA"/>
    <w:rsid w:val="00874AD5"/>
    <w:rsid w:val="00874EAB"/>
    <w:rsid w:val="008753FE"/>
    <w:rsid w:val="0087647C"/>
    <w:rsid w:val="0088077B"/>
    <w:rsid w:val="008819FF"/>
    <w:rsid w:val="00881A4C"/>
    <w:rsid w:val="00881F4A"/>
    <w:rsid w:val="008820C4"/>
    <w:rsid w:val="008824AD"/>
    <w:rsid w:val="0088339E"/>
    <w:rsid w:val="0088377D"/>
    <w:rsid w:val="00883B72"/>
    <w:rsid w:val="0088426D"/>
    <w:rsid w:val="008854E9"/>
    <w:rsid w:val="00886133"/>
    <w:rsid w:val="0088715C"/>
    <w:rsid w:val="00887E62"/>
    <w:rsid w:val="00891168"/>
    <w:rsid w:val="0089250D"/>
    <w:rsid w:val="008939D0"/>
    <w:rsid w:val="008945C5"/>
    <w:rsid w:val="008949EB"/>
    <w:rsid w:val="00894CEE"/>
    <w:rsid w:val="00894E16"/>
    <w:rsid w:val="00897163"/>
    <w:rsid w:val="0089724A"/>
    <w:rsid w:val="008972A9"/>
    <w:rsid w:val="008974EA"/>
    <w:rsid w:val="008A0307"/>
    <w:rsid w:val="008A0374"/>
    <w:rsid w:val="008A0A6F"/>
    <w:rsid w:val="008A0E2E"/>
    <w:rsid w:val="008A0EF3"/>
    <w:rsid w:val="008A2EEA"/>
    <w:rsid w:val="008A3CBA"/>
    <w:rsid w:val="008A4603"/>
    <w:rsid w:val="008A4BC3"/>
    <w:rsid w:val="008A6C40"/>
    <w:rsid w:val="008A6D5C"/>
    <w:rsid w:val="008A6EFF"/>
    <w:rsid w:val="008A7DF8"/>
    <w:rsid w:val="008B0559"/>
    <w:rsid w:val="008B0825"/>
    <w:rsid w:val="008B0A3D"/>
    <w:rsid w:val="008B10DC"/>
    <w:rsid w:val="008B111B"/>
    <w:rsid w:val="008B145D"/>
    <w:rsid w:val="008B21F5"/>
    <w:rsid w:val="008B245B"/>
    <w:rsid w:val="008B27DF"/>
    <w:rsid w:val="008B404A"/>
    <w:rsid w:val="008B4C58"/>
    <w:rsid w:val="008B5313"/>
    <w:rsid w:val="008B591F"/>
    <w:rsid w:val="008B6FD0"/>
    <w:rsid w:val="008B710E"/>
    <w:rsid w:val="008B7446"/>
    <w:rsid w:val="008C1109"/>
    <w:rsid w:val="008C33D9"/>
    <w:rsid w:val="008C3604"/>
    <w:rsid w:val="008C3946"/>
    <w:rsid w:val="008C43C2"/>
    <w:rsid w:val="008C45C4"/>
    <w:rsid w:val="008C49CA"/>
    <w:rsid w:val="008C69A4"/>
    <w:rsid w:val="008D0F6F"/>
    <w:rsid w:val="008D1209"/>
    <w:rsid w:val="008D304D"/>
    <w:rsid w:val="008D4799"/>
    <w:rsid w:val="008D4B0B"/>
    <w:rsid w:val="008D4E19"/>
    <w:rsid w:val="008D588A"/>
    <w:rsid w:val="008D5990"/>
    <w:rsid w:val="008D692A"/>
    <w:rsid w:val="008D6A61"/>
    <w:rsid w:val="008D6C3E"/>
    <w:rsid w:val="008D711D"/>
    <w:rsid w:val="008D7717"/>
    <w:rsid w:val="008E02F1"/>
    <w:rsid w:val="008E0923"/>
    <w:rsid w:val="008E0AEA"/>
    <w:rsid w:val="008E1EAD"/>
    <w:rsid w:val="008E2933"/>
    <w:rsid w:val="008E2D35"/>
    <w:rsid w:val="008E30B5"/>
    <w:rsid w:val="008E3FF3"/>
    <w:rsid w:val="008E4993"/>
    <w:rsid w:val="008E4E32"/>
    <w:rsid w:val="008E4F59"/>
    <w:rsid w:val="008E59A2"/>
    <w:rsid w:val="008E59EC"/>
    <w:rsid w:val="008E5AC3"/>
    <w:rsid w:val="008E6960"/>
    <w:rsid w:val="008E6AA2"/>
    <w:rsid w:val="008E7A60"/>
    <w:rsid w:val="008F1013"/>
    <w:rsid w:val="008F1EDA"/>
    <w:rsid w:val="008F34AB"/>
    <w:rsid w:val="008F3E68"/>
    <w:rsid w:val="008F4C3B"/>
    <w:rsid w:val="008F5F69"/>
    <w:rsid w:val="008F61CD"/>
    <w:rsid w:val="008F6825"/>
    <w:rsid w:val="00900A58"/>
    <w:rsid w:val="00901601"/>
    <w:rsid w:val="0090275B"/>
    <w:rsid w:val="00903B1F"/>
    <w:rsid w:val="00903B87"/>
    <w:rsid w:val="009045A9"/>
    <w:rsid w:val="0090475A"/>
    <w:rsid w:val="00904B14"/>
    <w:rsid w:val="00904BF3"/>
    <w:rsid w:val="00904C74"/>
    <w:rsid w:val="00906BDA"/>
    <w:rsid w:val="009074D0"/>
    <w:rsid w:val="009102FA"/>
    <w:rsid w:val="00910D2C"/>
    <w:rsid w:val="0091119B"/>
    <w:rsid w:val="00911397"/>
    <w:rsid w:val="00911DD0"/>
    <w:rsid w:val="00912783"/>
    <w:rsid w:val="00913DA3"/>
    <w:rsid w:val="00913F6F"/>
    <w:rsid w:val="00914820"/>
    <w:rsid w:val="00914873"/>
    <w:rsid w:val="00914988"/>
    <w:rsid w:val="00914EB6"/>
    <w:rsid w:val="00915498"/>
    <w:rsid w:val="00916AB9"/>
    <w:rsid w:val="00920C78"/>
    <w:rsid w:val="00920EA3"/>
    <w:rsid w:val="00921249"/>
    <w:rsid w:val="009217A7"/>
    <w:rsid w:val="00921E73"/>
    <w:rsid w:val="00922D30"/>
    <w:rsid w:val="0092570D"/>
    <w:rsid w:val="00926193"/>
    <w:rsid w:val="009269E0"/>
    <w:rsid w:val="00927B9B"/>
    <w:rsid w:val="009306A2"/>
    <w:rsid w:val="00931A4B"/>
    <w:rsid w:val="00931D67"/>
    <w:rsid w:val="00932038"/>
    <w:rsid w:val="00932533"/>
    <w:rsid w:val="00933066"/>
    <w:rsid w:val="00933449"/>
    <w:rsid w:val="009340BE"/>
    <w:rsid w:val="00934D31"/>
    <w:rsid w:val="009367B5"/>
    <w:rsid w:val="00936BF7"/>
    <w:rsid w:val="00937309"/>
    <w:rsid w:val="0093745D"/>
    <w:rsid w:val="00941C5A"/>
    <w:rsid w:val="009420EF"/>
    <w:rsid w:val="00943896"/>
    <w:rsid w:val="009448A7"/>
    <w:rsid w:val="00944CAB"/>
    <w:rsid w:val="009454A0"/>
    <w:rsid w:val="00945C34"/>
    <w:rsid w:val="00945C75"/>
    <w:rsid w:val="00945DE2"/>
    <w:rsid w:val="009466A0"/>
    <w:rsid w:val="00946A9A"/>
    <w:rsid w:val="00950965"/>
    <w:rsid w:val="00951433"/>
    <w:rsid w:val="00952765"/>
    <w:rsid w:val="009529F5"/>
    <w:rsid w:val="009554C0"/>
    <w:rsid w:val="009567A0"/>
    <w:rsid w:val="00956934"/>
    <w:rsid w:val="00960241"/>
    <w:rsid w:val="009608AF"/>
    <w:rsid w:val="0096380E"/>
    <w:rsid w:val="00964EEA"/>
    <w:rsid w:val="009651B1"/>
    <w:rsid w:val="009658A4"/>
    <w:rsid w:val="00965924"/>
    <w:rsid w:val="009661C7"/>
    <w:rsid w:val="00966305"/>
    <w:rsid w:val="0096658C"/>
    <w:rsid w:val="00967268"/>
    <w:rsid w:val="0096743A"/>
    <w:rsid w:val="0097205F"/>
    <w:rsid w:val="0097259C"/>
    <w:rsid w:val="00972808"/>
    <w:rsid w:val="009731CC"/>
    <w:rsid w:val="009747B8"/>
    <w:rsid w:val="00975CDF"/>
    <w:rsid w:val="009767A2"/>
    <w:rsid w:val="00980293"/>
    <w:rsid w:val="00980E7B"/>
    <w:rsid w:val="00981742"/>
    <w:rsid w:val="0098177B"/>
    <w:rsid w:val="00981F2B"/>
    <w:rsid w:val="009826A9"/>
    <w:rsid w:val="00982ADE"/>
    <w:rsid w:val="00982EA9"/>
    <w:rsid w:val="009830F6"/>
    <w:rsid w:val="00983CC1"/>
    <w:rsid w:val="00984DA0"/>
    <w:rsid w:val="00985066"/>
    <w:rsid w:val="00985140"/>
    <w:rsid w:val="00986E28"/>
    <w:rsid w:val="00990011"/>
    <w:rsid w:val="009904EA"/>
    <w:rsid w:val="00990986"/>
    <w:rsid w:val="00990ED2"/>
    <w:rsid w:val="0099150C"/>
    <w:rsid w:val="00991BBB"/>
    <w:rsid w:val="00992762"/>
    <w:rsid w:val="00992A12"/>
    <w:rsid w:val="009931FA"/>
    <w:rsid w:val="00993245"/>
    <w:rsid w:val="00994B69"/>
    <w:rsid w:val="009951ED"/>
    <w:rsid w:val="0099622A"/>
    <w:rsid w:val="00997AA0"/>
    <w:rsid w:val="00997B73"/>
    <w:rsid w:val="00997F98"/>
    <w:rsid w:val="009A0355"/>
    <w:rsid w:val="009A03B9"/>
    <w:rsid w:val="009A074D"/>
    <w:rsid w:val="009A0F2F"/>
    <w:rsid w:val="009A1543"/>
    <w:rsid w:val="009A1C12"/>
    <w:rsid w:val="009A1D02"/>
    <w:rsid w:val="009A2706"/>
    <w:rsid w:val="009A294C"/>
    <w:rsid w:val="009A2F21"/>
    <w:rsid w:val="009A3C16"/>
    <w:rsid w:val="009A4281"/>
    <w:rsid w:val="009A5290"/>
    <w:rsid w:val="009A5307"/>
    <w:rsid w:val="009A67B7"/>
    <w:rsid w:val="009A6C73"/>
    <w:rsid w:val="009A6CC5"/>
    <w:rsid w:val="009B12AF"/>
    <w:rsid w:val="009B1CFE"/>
    <w:rsid w:val="009B3564"/>
    <w:rsid w:val="009B44AA"/>
    <w:rsid w:val="009B5C64"/>
    <w:rsid w:val="009B5EC4"/>
    <w:rsid w:val="009B607D"/>
    <w:rsid w:val="009B668C"/>
    <w:rsid w:val="009B704E"/>
    <w:rsid w:val="009B78C8"/>
    <w:rsid w:val="009B799A"/>
    <w:rsid w:val="009C1ED8"/>
    <w:rsid w:val="009C233A"/>
    <w:rsid w:val="009C332B"/>
    <w:rsid w:val="009C3EA5"/>
    <w:rsid w:val="009C4139"/>
    <w:rsid w:val="009C5848"/>
    <w:rsid w:val="009C60A0"/>
    <w:rsid w:val="009C6464"/>
    <w:rsid w:val="009C64AA"/>
    <w:rsid w:val="009D0D40"/>
    <w:rsid w:val="009D1CC7"/>
    <w:rsid w:val="009D2000"/>
    <w:rsid w:val="009D2706"/>
    <w:rsid w:val="009D2BE4"/>
    <w:rsid w:val="009D4882"/>
    <w:rsid w:val="009D4FFE"/>
    <w:rsid w:val="009D5328"/>
    <w:rsid w:val="009D621D"/>
    <w:rsid w:val="009D6BAE"/>
    <w:rsid w:val="009D7709"/>
    <w:rsid w:val="009D7B49"/>
    <w:rsid w:val="009E0115"/>
    <w:rsid w:val="009E0C72"/>
    <w:rsid w:val="009E158B"/>
    <w:rsid w:val="009E256A"/>
    <w:rsid w:val="009E2BD7"/>
    <w:rsid w:val="009E3D7C"/>
    <w:rsid w:val="009E49CA"/>
    <w:rsid w:val="009E5751"/>
    <w:rsid w:val="009E5C3D"/>
    <w:rsid w:val="009E7243"/>
    <w:rsid w:val="009F06F0"/>
    <w:rsid w:val="009F308D"/>
    <w:rsid w:val="009F3199"/>
    <w:rsid w:val="009F321D"/>
    <w:rsid w:val="009F3EEB"/>
    <w:rsid w:val="009F4509"/>
    <w:rsid w:val="009F5E81"/>
    <w:rsid w:val="009F7D83"/>
    <w:rsid w:val="009F7DB3"/>
    <w:rsid w:val="009F7F73"/>
    <w:rsid w:val="00A016E0"/>
    <w:rsid w:val="00A023CB"/>
    <w:rsid w:val="00A024F6"/>
    <w:rsid w:val="00A02747"/>
    <w:rsid w:val="00A02D55"/>
    <w:rsid w:val="00A04BCE"/>
    <w:rsid w:val="00A04E7B"/>
    <w:rsid w:val="00A05BF7"/>
    <w:rsid w:val="00A0652E"/>
    <w:rsid w:val="00A06926"/>
    <w:rsid w:val="00A06EC0"/>
    <w:rsid w:val="00A07E09"/>
    <w:rsid w:val="00A1062C"/>
    <w:rsid w:val="00A108FB"/>
    <w:rsid w:val="00A10B60"/>
    <w:rsid w:val="00A10EBB"/>
    <w:rsid w:val="00A11BC0"/>
    <w:rsid w:val="00A121D5"/>
    <w:rsid w:val="00A12F8E"/>
    <w:rsid w:val="00A13CBA"/>
    <w:rsid w:val="00A1464A"/>
    <w:rsid w:val="00A14EE7"/>
    <w:rsid w:val="00A178E6"/>
    <w:rsid w:val="00A17A02"/>
    <w:rsid w:val="00A17E48"/>
    <w:rsid w:val="00A21225"/>
    <w:rsid w:val="00A215B4"/>
    <w:rsid w:val="00A22A37"/>
    <w:rsid w:val="00A24749"/>
    <w:rsid w:val="00A252D0"/>
    <w:rsid w:val="00A26E24"/>
    <w:rsid w:val="00A27029"/>
    <w:rsid w:val="00A27BE2"/>
    <w:rsid w:val="00A3030F"/>
    <w:rsid w:val="00A3059C"/>
    <w:rsid w:val="00A3074A"/>
    <w:rsid w:val="00A33990"/>
    <w:rsid w:val="00A340E2"/>
    <w:rsid w:val="00A34699"/>
    <w:rsid w:val="00A355CE"/>
    <w:rsid w:val="00A35C8F"/>
    <w:rsid w:val="00A36D16"/>
    <w:rsid w:val="00A36E5D"/>
    <w:rsid w:val="00A3727B"/>
    <w:rsid w:val="00A40AFC"/>
    <w:rsid w:val="00A40E02"/>
    <w:rsid w:val="00A411CA"/>
    <w:rsid w:val="00A42319"/>
    <w:rsid w:val="00A44438"/>
    <w:rsid w:val="00A458CE"/>
    <w:rsid w:val="00A46682"/>
    <w:rsid w:val="00A46C82"/>
    <w:rsid w:val="00A473F3"/>
    <w:rsid w:val="00A47695"/>
    <w:rsid w:val="00A516F2"/>
    <w:rsid w:val="00A52EAC"/>
    <w:rsid w:val="00A52F65"/>
    <w:rsid w:val="00A53814"/>
    <w:rsid w:val="00A540FF"/>
    <w:rsid w:val="00A54743"/>
    <w:rsid w:val="00A5499F"/>
    <w:rsid w:val="00A55058"/>
    <w:rsid w:val="00A56393"/>
    <w:rsid w:val="00A56DF5"/>
    <w:rsid w:val="00A56E1B"/>
    <w:rsid w:val="00A57738"/>
    <w:rsid w:val="00A600A6"/>
    <w:rsid w:val="00A60545"/>
    <w:rsid w:val="00A6154E"/>
    <w:rsid w:val="00A61596"/>
    <w:rsid w:val="00A61BD3"/>
    <w:rsid w:val="00A6263D"/>
    <w:rsid w:val="00A63AEE"/>
    <w:rsid w:val="00A64040"/>
    <w:rsid w:val="00A651C1"/>
    <w:rsid w:val="00A6572A"/>
    <w:rsid w:val="00A66605"/>
    <w:rsid w:val="00A711CC"/>
    <w:rsid w:val="00A71D73"/>
    <w:rsid w:val="00A724EF"/>
    <w:rsid w:val="00A72CB4"/>
    <w:rsid w:val="00A73F02"/>
    <w:rsid w:val="00A76435"/>
    <w:rsid w:val="00A76B91"/>
    <w:rsid w:val="00A7720F"/>
    <w:rsid w:val="00A77C33"/>
    <w:rsid w:val="00A77F87"/>
    <w:rsid w:val="00A81E65"/>
    <w:rsid w:val="00A824E2"/>
    <w:rsid w:val="00A82F7F"/>
    <w:rsid w:val="00A838E4"/>
    <w:rsid w:val="00A84237"/>
    <w:rsid w:val="00A842DE"/>
    <w:rsid w:val="00A84645"/>
    <w:rsid w:val="00A846F2"/>
    <w:rsid w:val="00A85C51"/>
    <w:rsid w:val="00A86086"/>
    <w:rsid w:val="00A864AD"/>
    <w:rsid w:val="00A86B5A"/>
    <w:rsid w:val="00A87A00"/>
    <w:rsid w:val="00A87DF3"/>
    <w:rsid w:val="00A87DF6"/>
    <w:rsid w:val="00A9076F"/>
    <w:rsid w:val="00A90D32"/>
    <w:rsid w:val="00A9173C"/>
    <w:rsid w:val="00A9557E"/>
    <w:rsid w:val="00A95A09"/>
    <w:rsid w:val="00A95C73"/>
    <w:rsid w:val="00A971FF"/>
    <w:rsid w:val="00A976E5"/>
    <w:rsid w:val="00AA16B7"/>
    <w:rsid w:val="00AA19F5"/>
    <w:rsid w:val="00AA1EBA"/>
    <w:rsid w:val="00AA26BA"/>
    <w:rsid w:val="00AA295B"/>
    <w:rsid w:val="00AA2D25"/>
    <w:rsid w:val="00AA3683"/>
    <w:rsid w:val="00AA387D"/>
    <w:rsid w:val="00AA3B21"/>
    <w:rsid w:val="00AA4DC6"/>
    <w:rsid w:val="00AA504B"/>
    <w:rsid w:val="00AA74A1"/>
    <w:rsid w:val="00AA784A"/>
    <w:rsid w:val="00AB0413"/>
    <w:rsid w:val="00AB066E"/>
    <w:rsid w:val="00AB31FF"/>
    <w:rsid w:val="00AB3CE7"/>
    <w:rsid w:val="00AB476A"/>
    <w:rsid w:val="00AB49CD"/>
    <w:rsid w:val="00AB5115"/>
    <w:rsid w:val="00AB543F"/>
    <w:rsid w:val="00AB5DAD"/>
    <w:rsid w:val="00AB6187"/>
    <w:rsid w:val="00AC0BFD"/>
    <w:rsid w:val="00AC2DB5"/>
    <w:rsid w:val="00AC3036"/>
    <w:rsid w:val="00AC31CE"/>
    <w:rsid w:val="00AC54F3"/>
    <w:rsid w:val="00AC6E0E"/>
    <w:rsid w:val="00AC7253"/>
    <w:rsid w:val="00AC7426"/>
    <w:rsid w:val="00AD009B"/>
    <w:rsid w:val="00AD08CD"/>
    <w:rsid w:val="00AD17E4"/>
    <w:rsid w:val="00AD265B"/>
    <w:rsid w:val="00AD2D38"/>
    <w:rsid w:val="00AD3032"/>
    <w:rsid w:val="00AD34A3"/>
    <w:rsid w:val="00AD3556"/>
    <w:rsid w:val="00AD56C9"/>
    <w:rsid w:val="00AD618D"/>
    <w:rsid w:val="00AD7402"/>
    <w:rsid w:val="00AD76A3"/>
    <w:rsid w:val="00AE1551"/>
    <w:rsid w:val="00AE210A"/>
    <w:rsid w:val="00AE24F1"/>
    <w:rsid w:val="00AE3580"/>
    <w:rsid w:val="00AE4FBF"/>
    <w:rsid w:val="00AE513C"/>
    <w:rsid w:val="00AE5CFA"/>
    <w:rsid w:val="00AE684E"/>
    <w:rsid w:val="00AE6879"/>
    <w:rsid w:val="00AE739F"/>
    <w:rsid w:val="00AE788C"/>
    <w:rsid w:val="00AE78A3"/>
    <w:rsid w:val="00AF00FB"/>
    <w:rsid w:val="00AF43FE"/>
    <w:rsid w:val="00AF4D0C"/>
    <w:rsid w:val="00AF4DCB"/>
    <w:rsid w:val="00AF4FA4"/>
    <w:rsid w:val="00AF5026"/>
    <w:rsid w:val="00AF51BD"/>
    <w:rsid w:val="00AF5E3D"/>
    <w:rsid w:val="00AF6ADE"/>
    <w:rsid w:val="00B0374D"/>
    <w:rsid w:val="00B04D09"/>
    <w:rsid w:val="00B064D0"/>
    <w:rsid w:val="00B10F46"/>
    <w:rsid w:val="00B117B8"/>
    <w:rsid w:val="00B12C7C"/>
    <w:rsid w:val="00B1486D"/>
    <w:rsid w:val="00B1564E"/>
    <w:rsid w:val="00B16446"/>
    <w:rsid w:val="00B1676B"/>
    <w:rsid w:val="00B171CD"/>
    <w:rsid w:val="00B17853"/>
    <w:rsid w:val="00B17957"/>
    <w:rsid w:val="00B17EA6"/>
    <w:rsid w:val="00B20A41"/>
    <w:rsid w:val="00B20BB7"/>
    <w:rsid w:val="00B210D3"/>
    <w:rsid w:val="00B210F3"/>
    <w:rsid w:val="00B21E9C"/>
    <w:rsid w:val="00B2401D"/>
    <w:rsid w:val="00B2558C"/>
    <w:rsid w:val="00B2722E"/>
    <w:rsid w:val="00B27664"/>
    <w:rsid w:val="00B27CEE"/>
    <w:rsid w:val="00B30066"/>
    <w:rsid w:val="00B31D1C"/>
    <w:rsid w:val="00B326A6"/>
    <w:rsid w:val="00B32BF8"/>
    <w:rsid w:val="00B33E0E"/>
    <w:rsid w:val="00B347D3"/>
    <w:rsid w:val="00B368F3"/>
    <w:rsid w:val="00B36BEA"/>
    <w:rsid w:val="00B371BB"/>
    <w:rsid w:val="00B3723A"/>
    <w:rsid w:val="00B37258"/>
    <w:rsid w:val="00B379EF"/>
    <w:rsid w:val="00B41ACB"/>
    <w:rsid w:val="00B41E37"/>
    <w:rsid w:val="00B43AB8"/>
    <w:rsid w:val="00B44D78"/>
    <w:rsid w:val="00B46C10"/>
    <w:rsid w:val="00B470E5"/>
    <w:rsid w:val="00B47420"/>
    <w:rsid w:val="00B50570"/>
    <w:rsid w:val="00B50E30"/>
    <w:rsid w:val="00B520AB"/>
    <w:rsid w:val="00B52A70"/>
    <w:rsid w:val="00B53093"/>
    <w:rsid w:val="00B54013"/>
    <w:rsid w:val="00B546AD"/>
    <w:rsid w:val="00B54865"/>
    <w:rsid w:val="00B549B8"/>
    <w:rsid w:val="00B562D8"/>
    <w:rsid w:val="00B56780"/>
    <w:rsid w:val="00B572EB"/>
    <w:rsid w:val="00B578F2"/>
    <w:rsid w:val="00B60346"/>
    <w:rsid w:val="00B60561"/>
    <w:rsid w:val="00B6060A"/>
    <w:rsid w:val="00B607A6"/>
    <w:rsid w:val="00B61BB1"/>
    <w:rsid w:val="00B61DE9"/>
    <w:rsid w:val="00B62160"/>
    <w:rsid w:val="00B62266"/>
    <w:rsid w:val="00B63ED9"/>
    <w:rsid w:val="00B642DA"/>
    <w:rsid w:val="00B65502"/>
    <w:rsid w:val="00B65509"/>
    <w:rsid w:val="00B655A1"/>
    <w:rsid w:val="00B66873"/>
    <w:rsid w:val="00B66A05"/>
    <w:rsid w:val="00B66E42"/>
    <w:rsid w:val="00B67A5D"/>
    <w:rsid w:val="00B7072B"/>
    <w:rsid w:val="00B70FFF"/>
    <w:rsid w:val="00B716B9"/>
    <w:rsid w:val="00B71B14"/>
    <w:rsid w:val="00B731B1"/>
    <w:rsid w:val="00B73D47"/>
    <w:rsid w:val="00B7421F"/>
    <w:rsid w:val="00B74715"/>
    <w:rsid w:val="00B7487F"/>
    <w:rsid w:val="00B75397"/>
    <w:rsid w:val="00B75F08"/>
    <w:rsid w:val="00B760F0"/>
    <w:rsid w:val="00B761C0"/>
    <w:rsid w:val="00B76244"/>
    <w:rsid w:val="00B76675"/>
    <w:rsid w:val="00B770A8"/>
    <w:rsid w:val="00B77D93"/>
    <w:rsid w:val="00B80B5F"/>
    <w:rsid w:val="00B80F2C"/>
    <w:rsid w:val="00B82040"/>
    <w:rsid w:val="00B8238C"/>
    <w:rsid w:val="00B8284A"/>
    <w:rsid w:val="00B831D2"/>
    <w:rsid w:val="00B83E60"/>
    <w:rsid w:val="00B844EC"/>
    <w:rsid w:val="00B85018"/>
    <w:rsid w:val="00B856F0"/>
    <w:rsid w:val="00B87E00"/>
    <w:rsid w:val="00B90297"/>
    <w:rsid w:val="00B915C4"/>
    <w:rsid w:val="00B92A6A"/>
    <w:rsid w:val="00B94396"/>
    <w:rsid w:val="00B9448E"/>
    <w:rsid w:val="00B949BD"/>
    <w:rsid w:val="00B953E6"/>
    <w:rsid w:val="00B957AE"/>
    <w:rsid w:val="00B95C13"/>
    <w:rsid w:val="00B95C1C"/>
    <w:rsid w:val="00B96125"/>
    <w:rsid w:val="00B961D0"/>
    <w:rsid w:val="00B9644F"/>
    <w:rsid w:val="00B96910"/>
    <w:rsid w:val="00B97019"/>
    <w:rsid w:val="00B977CE"/>
    <w:rsid w:val="00B97A31"/>
    <w:rsid w:val="00B97E6C"/>
    <w:rsid w:val="00BA019C"/>
    <w:rsid w:val="00BA080B"/>
    <w:rsid w:val="00BA1394"/>
    <w:rsid w:val="00BA20C9"/>
    <w:rsid w:val="00BA3E77"/>
    <w:rsid w:val="00BA46A7"/>
    <w:rsid w:val="00BA522B"/>
    <w:rsid w:val="00BB08CC"/>
    <w:rsid w:val="00BB0A16"/>
    <w:rsid w:val="00BB0C41"/>
    <w:rsid w:val="00BB0C66"/>
    <w:rsid w:val="00BB1591"/>
    <w:rsid w:val="00BB2A95"/>
    <w:rsid w:val="00BB2CA6"/>
    <w:rsid w:val="00BB30A9"/>
    <w:rsid w:val="00BB32E5"/>
    <w:rsid w:val="00BB4A0F"/>
    <w:rsid w:val="00BB5026"/>
    <w:rsid w:val="00BB50A0"/>
    <w:rsid w:val="00BB516D"/>
    <w:rsid w:val="00BB5D9B"/>
    <w:rsid w:val="00BB60E8"/>
    <w:rsid w:val="00BB6E0A"/>
    <w:rsid w:val="00BB7978"/>
    <w:rsid w:val="00BB7EDB"/>
    <w:rsid w:val="00BC0DC1"/>
    <w:rsid w:val="00BC134F"/>
    <w:rsid w:val="00BC31FB"/>
    <w:rsid w:val="00BC34EE"/>
    <w:rsid w:val="00BC36F0"/>
    <w:rsid w:val="00BC3A62"/>
    <w:rsid w:val="00BC3A85"/>
    <w:rsid w:val="00BC45FB"/>
    <w:rsid w:val="00BC4F58"/>
    <w:rsid w:val="00BC7ACC"/>
    <w:rsid w:val="00BD3463"/>
    <w:rsid w:val="00BD3F01"/>
    <w:rsid w:val="00BD429D"/>
    <w:rsid w:val="00BD45DD"/>
    <w:rsid w:val="00BD5622"/>
    <w:rsid w:val="00BD642B"/>
    <w:rsid w:val="00BD6AEC"/>
    <w:rsid w:val="00BD7126"/>
    <w:rsid w:val="00BD7150"/>
    <w:rsid w:val="00BD7D72"/>
    <w:rsid w:val="00BE0AC1"/>
    <w:rsid w:val="00BE1634"/>
    <w:rsid w:val="00BE1C83"/>
    <w:rsid w:val="00BE3ABC"/>
    <w:rsid w:val="00BE49FE"/>
    <w:rsid w:val="00BE5F97"/>
    <w:rsid w:val="00BE65AE"/>
    <w:rsid w:val="00BF0436"/>
    <w:rsid w:val="00BF0F65"/>
    <w:rsid w:val="00BF24AD"/>
    <w:rsid w:val="00BF3B06"/>
    <w:rsid w:val="00BF473D"/>
    <w:rsid w:val="00BF5666"/>
    <w:rsid w:val="00C000A6"/>
    <w:rsid w:val="00C00B03"/>
    <w:rsid w:val="00C00C66"/>
    <w:rsid w:val="00C01C74"/>
    <w:rsid w:val="00C01EB0"/>
    <w:rsid w:val="00C030F8"/>
    <w:rsid w:val="00C042F7"/>
    <w:rsid w:val="00C0433E"/>
    <w:rsid w:val="00C0483B"/>
    <w:rsid w:val="00C04E82"/>
    <w:rsid w:val="00C05726"/>
    <w:rsid w:val="00C05A2E"/>
    <w:rsid w:val="00C06054"/>
    <w:rsid w:val="00C060B8"/>
    <w:rsid w:val="00C06379"/>
    <w:rsid w:val="00C07447"/>
    <w:rsid w:val="00C075CC"/>
    <w:rsid w:val="00C101A8"/>
    <w:rsid w:val="00C1052E"/>
    <w:rsid w:val="00C13BD0"/>
    <w:rsid w:val="00C146FC"/>
    <w:rsid w:val="00C154D2"/>
    <w:rsid w:val="00C156CC"/>
    <w:rsid w:val="00C15794"/>
    <w:rsid w:val="00C15D66"/>
    <w:rsid w:val="00C16190"/>
    <w:rsid w:val="00C17090"/>
    <w:rsid w:val="00C177EA"/>
    <w:rsid w:val="00C17EE2"/>
    <w:rsid w:val="00C20C27"/>
    <w:rsid w:val="00C21452"/>
    <w:rsid w:val="00C23903"/>
    <w:rsid w:val="00C23B36"/>
    <w:rsid w:val="00C24343"/>
    <w:rsid w:val="00C26A49"/>
    <w:rsid w:val="00C26C4E"/>
    <w:rsid w:val="00C27401"/>
    <w:rsid w:val="00C27B81"/>
    <w:rsid w:val="00C306BB"/>
    <w:rsid w:val="00C327E9"/>
    <w:rsid w:val="00C3335C"/>
    <w:rsid w:val="00C36027"/>
    <w:rsid w:val="00C361D3"/>
    <w:rsid w:val="00C36469"/>
    <w:rsid w:val="00C37D02"/>
    <w:rsid w:val="00C4035B"/>
    <w:rsid w:val="00C440ED"/>
    <w:rsid w:val="00C45A59"/>
    <w:rsid w:val="00C45B4D"/>
    <w:rsid w:val="00C46105"/>
    <w:rsid w:val="00C46D19"/>
    <w:rsid w:val="00C4705D"/>
    <w:rsid w:val="00C4776D"/>
    <w:rsid w:val="00C51939"/>
    <w:rsid w:val="00C51E21"/>
    <w:rsid w:val="00C52DE6"/>
    <w:rsid w:val="00C537F3"/>
    <w:rsid w:val="00C54589"/>
    <w:rsid w:val="00C55CB5"/>
    <w:rsid w:val="00C56A6E"/>
    <w:rsid w:val="00C5718C"/>
    <w:rsid w:val="00C57679"/>
    <w:rsid w:val="00C578BB"/>
    <w:rsid w:val="00C57D46"/>
    <w:rsid w:val="00C611FC"/>
    <w:rsid w:val="00C61469"/>
    <w:rsid w:val="00C625B1"/>
    <w:rsid w:val="00C63B14"/>
    <w:rsid w:val="00C64542"/>
    <w:rsid w:val="00C64D26"/>
    <w:rsid w:val="00C6545E"/>
    <w:rsid w:val="00C65A42"/>
    <w:rsid w:val="00C669EA"/>
    <w:rsid w:val="00C66D77"/>
    <w:rsid w:val="00C67DB5"/>
    <w:rsid w:val="00C67F85"/>
    <w:rsid w:val="00C70BCA"/>
    <w:rsid w:val="00C71EF8"/>
    <w:rsid w:val="00C72882"/>
    <w:rsid w:val="00C72F34"/>
    <w:rsid w:val="00C7364A"/>
    <w:rsid w:val="00C73A67"/>
    <w:rsid w:val="00C750B9"/>
    <w:rsid w:val="00C75A54"/>
    <w:rsid w:val="00C7608B"/>
    <w:rsid w:val="00C770F3"/>
    <w:rsid w:val="00C8294F"/>
    <w:rsid w:val="00C82CC5"/>
    <w:rsid w:val="00C832A5"/>
    <w:rsid w:val="00C8336F"/>
    <w:rsid w:val="00C84705"/>
    <w:rsid w:val="00C8622B"/>
    <w:rsid w:val="00C864D0"/>
    <w:rsid w:val="00C8783C"/>
    <w:rsid w:val="00C90171"/>
    <w:rsid w:val="00C90604"/>
    <w:rsid w:val="00C9067A"/>
    <w:rsid w:val="00C90D7E"/>
    <w:rsid w:val="00C90EDF"/>
    <w:rsid w:val="00C90F2D"/>
    <w:rsid w:val="00C911AC"/>
    <w:rsid w:val="00C91714"/>
    <w:rsid w:val="00C91ED3"/>
    <w:rsid w:val="00C92E8A"/>
    <w:rsid w:val="00C93C81"/>
    <w:rsid w:val="00C96E61"/>
    <w:rsid w:val="00CA0032"/>
    <w:rsid w:val="00CA0AAA"/>
    <w:rsid w:val="00CA1261"/>
    <w:rsid w:val="00CA1455"/>
    <w:rsid w:val="00CA1E8E"/>
    <w:rsid w:val="00CA304A"/>
    <w:rsid w:val="00CA3472"/>
    <w:rsid w:val="00CA5DEA"/>
    <w:rsid w:val="00CA609F"/>
    <w:rsid w:val="00CA6E68"/>
    <w:rsid w:val="00CA7416"/>
    <w:rsid w:val="00CA74DB"/>
    <w:rsid w:val="00CA7646"/>
    <w:rsid w:val="00CB1055"/>
    <w:rsid w:val="00CB10E9"/>
    <w:rsid w:val="00CB1950"/>
    <w:rsid w:val="00CB2145"/>
    <w:rsid w:val="00CB2254"/>
    <w:rsid w:val="00CB27C8"/>
    <w:rsid w:val="00CB2BD7"/>
    <w:rsid w:val="00CB3CC8"/>
    <w:rsid w:val="00CB412E"/>
    <w:rsid w:val="00CB4C03"/>
    <w:rsid w:val="00CB5011"/>
    <w:rsid w:val="00CB5083"/>
    <w:rsid w:val="00CB5ABA"/>
    <w:rsid w:val="00CB6104"/>
    <w:rsid w:val="00CB7DC2"/>
    <w:rsid w:val="00CB7EE9"/>
    <w:rsid w:val="00CC0071"/>
    <w:rsid w:val="00CC06D0"/>
    <w:rsid w:val="00CC0BFC"/>
    <w:rsid w:val="00CC0DD3"/>
    <w:rsid w:val="00CC1188"/>
    <w:rsid w:val="00CC16D5"/>
    <w:rsid w:val="00CC1786"/>
    <w:rsid w:val="00CC180C"/>
    <w:rsid w:val="00CC2970"/>
    <w:rsid w:val="00CC3512"/>
    <w:rsid w:val="00CC427C"/>
    <w:rsid w:val="00CC7151"/>
    <w:rsid w:val="00CC767C"/>
    <w:rsid w:val="00CC784C"/>
    <w:rsid w:val="00CD01D0"/>
    <w:rsid w:val="00CD050B"/>
    <w:rsid w:val="00CD1231"/>
    <w:rsid w:val="00CD1822"/>
    <w:rsid w:val="00CD2634"/>
    <w:rsid w:val="00CD2A1B"/>
    <w:rsid w:val="00CD3B19"/>
    <w:rsid w:val="00CD3EDA"/>
    <w:rsid w:val="00CD777D"/>
    <w:rsid w:val="00CE30FC"/>
    <w:rsid w:val="00CE48EB"/>
    <w:rsid w:val="00CE51A6"/>
    <w:rsid w:val="00CE5548"/>
    <w:rsid w:val="00CE573C"/>
    <w:rsid w:val="00CE5EA4"/>
    <w:rsid w:val="00CE669C"/>
    <w:rsid w:val="00CE68F8"/>
    <w:rsid w:val="00CE7A69"/>
    <w:rsid w:val="00CF2131"/>
    <w:rsid w:val="00CF2A23"/>
    <w:rsid w:val="00CF3562"/>
    <w:rsid w:val="00CF3974"/>
    <w:rsid w:val="00CF45FC"/>
    <w:rsid w:val="00CF51FC"/>
    <w:rsid w:val="00CF5656"/>
    <w:rsid w:val="00CF6123"/>
    <w:rsid w:val="00CF6536"/>
    <w:rsid w:val="00CF70B6"/>
    <w:rsid w:val="00D00003"/>
    <w:rsid w:val="00D001B5"/>
    <w:rsid w:val="00D003F0"/>
    <w:rsid w:val="00D018DF"/>
    <w:rsid w:val="00D01D45"/>
    <w:rsid w:val="00D01EBC"/>
    <w:rsid w:val="00D0304C"/>
    <w:rsid w:val="00D04F67"/>
    <w:rsid w:val="00D0541D"/>
    <w:rsid w:val="00D06202"/>
    <w:rsid w:val="00D077AA"/>
    <w:rsid w:val="00D07888"/>
    <w:rsid w:val="00D10809"/>
    <w:rsid w:val="00D1081F"/>
    <w:rsid w:val="00D10BDC"/>
    <w:rsid w:val="00D1172F"/>
    <w:rsid w:val="00D11B40"/>
    <w:rsid w:val="00D16180"/>
    <w:rsid w:val="00D203EB"/>
    <w:rsid w:val="00D20C37"/>
    <w:rsid w:val="00D211D3"/>
    <w:rsid w:val="00D21D5A"/>
    <w:rsid w:val="00D21E63"/>
    <w:rsid w:val="00D2277D"/>
    <w:rsid w:val="00D227F2"/>
    <w:rsid w:val="00D2687D"/>
    <w:rsid w:val="00D27441"/>
    <w:rsid w:val="00D3057D"/>
    <w:rsid w:val="00D30834"/>
    <w:rsid w:val="00D308A5"/>
    <w:rsid w:val="00D30B51"/>
    <w:rsid w:val="00D312C4"/>
    <w:rsid w:val="00D3229F"/>
    <w:rsid w:val="00D33D7E"/>
    <w:rsid w:val="00D347A8"/>
    <w:rsid w:val="00D347F4"/>
    <w:rsid w:val="00D34ABC"/>
    <w:rsid w:val="00D35D30"/>
    <w:rsid w:val="00D36307"/>
    <w:rsid w:val="00D37040"/>
    <w:rsid w:val="00D37309"/>
    <w:rsid w:val="00D37811"/>
    <w:rsid w:val="00D4038F"/>
    <w:rsid w:val="00D415D5"/>
    <w:rsid w:val="00D424E4"/>
    <w:rsid w:val="00D42F1C"/>
    <w:rsid w:val="00D431D3"/>
    <w:rsid w:val="00D433FF"/>
    <w:rsid w:val="00D44332"/>
    <w:rsid w:val="00D45A06"/>
    <w:rsid w:val="00D462EB"/>
    <w:rsid w:val="00D4723A"/>
    <w:rsid w:val="00D50666"/>
    <w:rsid w:val="00D5089E"/>
    <w:rsid w:val="00D511BD"/>
    <w:rsid w:val="00D5399F"/>
    <w:rsid w:val="00D53BF4"/>
    <w:rsid w:val="00D53C49"/>
    <w:rsid w:val="00D54031"/>
    <w:rsid w:val="00D54F40"/>
    <w:rsid w:val="00D55908"/>
    <w:rsid w:val="00D566AF"/>
    <w:rsid w:val="00D57012"/>
    <w:rsid w:val="00D60776"/>
    <w:rsid w:val="00D61030"/>
    <w:rsid w:val="00D614E7"/>
    <w:rsid w:val="00D61CBD"/>
    <w:rsid w:val="00D61D0E"/>
    <w:rsid w:val="00D62B10"/>
    <w:rsid w:val="00D64AB6"/>
    <w:rsid w:val="00D64D7F"/>
    <w:rsid w:val="00D65C03"/>
    <w:rsid w:val="00D65E7A"/>
    <w:rsid w:val="00D66259"/>
    <w:rsid w:val="00D70C7C"/>
    <w:rsid w:val="00D716E1"/>
    <w:rsid w:val="00D71BD1"/>
    <w:rsid w:val="00D7400D"/>
    <w:rsid w:val="00D752DA"/>
    <w:rsid w:val="00D76E8E"/>
    <w:rsid w:val="00D77B47"/>
    <w:rsid w:val="00D80A86"/>
    <w:rsid w:val="00D80FAF"/>
    <w:rsid w:val="00D81560"/>
    <w:rsid w:val="00D83EA7"/>
    <w:rsid w:val="00D8471C"/>
    <w:rsid w:val="00D85522"/>
    <w:rsid w:val="00D855CF"/>
    <w:rsid w:val="00D90697"/>
    <w:rsid w:val="00D90EA3"/>
    <w:rsid w:val="00D91282"/>
    <w:rsid w:val="00D92A24"/>
    <w:rsid w:val="00D9347C"/>
    <w:rsid w:val="00D93667"/>
    <w:rsid w:val="00D94B69"/>
    <w:rsid w:val="00D95379"/>
    <w:rsid w:val="00D95494"/>
    <w:rsid w:val="00D95923"/>
    <w:rsid w:val="00D96047"/>
    <w:rsid w:val="00DA030C"/>
    <w:rsid w:val="00DA12C8"/>
    <w:rsid w:val="00DA1EFA"/>
    <w:rsid w:val="00DA1F04"/>
    <w:rsid w:val="00DA2565"/>
    <w:rsid w:val="00DA3207"/>
    <w:rsid w:val="00DA3753"/>
    <w:rsid w:val="00DA5AC6"/>
    <w:rsid w:val="00DA65F0"/>
    <w:rsid w:val="00DA74FF"/>
    <w:rsid w:val="00DA7D20"/>
    <w:rsid w:val="00DB0043"/>
    <w:rsid w:val="00DB0EF2"/>
    <w:rsid w:val="00DB1B5B"/>
    <w:rsid w:val="00DB1F80"/>
    <w:rsid w:val="00DB2DB9"/>
    <w:rsid w:val="00DB2F7B"/>
    <w:rsid w:val="00DB3FB3"/>
    <w:rsid w:val="00DB436D"/>
    <w:rsid w:val="00DB4CF5"/>
    <w:rsid w:val="00DB531B"/>
    <w:rsid w:val="00DB54C5"/>
    <w:rsid w:val="00DB5886"/>
    <w:rsid w:val="00DB6187"/>
    <w:rsid w:val="00DB62DE"/>
    <w:rsid w:val="00DB645F"/>
    <w:rsid w:val="00DB7C20"/>
    <w:rsid w:val="00DC076F"/>
    <w:rsid w:val="00DC15C6"/>
    <w:rsid w:val="00DC2289"/>
    <w:rsid w:val="00DC22E6"/>
    <w:rsid w:val="00DC3464"/>
    <w:rsid w:val="00DC37FB"/>
    <w:rsid w:val="00DC3F5D"/>
    <w:rsid w:val="00DC569C"/>
    <w:rsid w:val="00DC5A40"/>
    <w:rsid w:val="00DC70CC"/>
    <w:rsid w:val="00DC7404"/>
    <w:rsid w:val="00DC7690"/>
    <w:rsid w:val="00DC78B9"/>
    <w:rsid w:val="00DD02A2"/>
    <w:rsid w:val="00DD07F4"/>
    <w:rsid w:val="00DD08B3"/>
    <w:rsid w:val="00DD0D6B"/>
    <w:rsid w:val="00DD0E5B"/>
    <w:rsid w:val="00DD1088"/>
    <w:rsid w:val="00DD2431"/>
    <w:rsid w:val="00DD2503"/>
    <w:rsid w:val="00DD418D"/>
    <w:rsid w:val="00DD4343"/>
    <w:rsid w:val="00DD4A6A"/>
    <w:rsid w:val="00DD4B6C"/>
    <w:rsid w:val="00DD5C50"/>
    <w:rsid w:val="00DD5DFF"/>
    <w:rsid w:val="00DD6A3C"/>
    <w:rsid w:val="00DD6A93"/>
    <w:rsid w:val="00DD72CF"/>
    <w:rsid w:val="00DD7625"/>
    <w:rsid w:val="00DE0FA5"/>
    <w:rsid w:val="00DE106B"/>
    <w:rsid w:val="00DE2DEF"/>
    <w:rsid w:val="00DE3045"/>
    <w:rsid w:val="00DE327E"/>
    <w:rsid w:val="00DE4BA5"/>
    <w:rsid w:val="00DE70D5"/>
    <w:rsid w:val="00DE728A"/>
    <w:rsid w:val="00DE73FD"/>
    <w:rsid w:val="00DE7437"/>
    <w:rsid w:val="00DF18A4"/>
    <w:rsid w:val="00DF2D6C"/>
    <w:rsid w:val="00DF31BA"/>
    <w:rsid w:val="00DF3469"/>
    <w:rsid w:val="00DF34EC"/>
    <w:rsid w:val="00DF3F0C"/>
    <w:rsid w:val="00DF4F8C"/>
    <w:rsid w:val="00DF5283"/>
    <w:rsid w:val="00DF5D64"/>
    <w:rsid w:val="00DF7238"/>
    <w:rsid w:val="00DF7C56"/>
    <w:rsid w:val="00E00039"/>
    <w:rsid w:val="00E001A6"/>
    <w:rsid w:val="00E0117D"/>
    <w:rsid w:val="00E01215"/>
    <w:rsid w:val="00E02EE5"/>
    <w:rsid w:val="00E038C4"/>
    <w:rsid w:val="00E03B84"/>
    <w:rsid w:val="00E04516"/>
    <w:rsid w:val="00E06013"/>
    <w:rsid w:val="00E067FC"/>
    <w:rsid w:val="00E06ECD"/>
    <w:rsid w:val="00E0752F"/>
    <w:rsid w:val="00E07960"/>
    <w:rsid w:val="00E07C37"/>
    <w:rsid w:val="00E10C55"/>
    <w:rsid w:val="00E10E87"/>
    <w:rsid w:val="00E110BC"/>
    <w:rsid w:val="00E11172"/>
    <w:rsid w:val="00E1140D"/>
    <w:rsid w:val="00E11C82"/>
    <w:rsid w:val="00E141AC"/>
    <w:rsid w:val="00E142E7"/>
    <w:rsid w:val="00E14ECC"/>
    <w:rsid w:val="00E1534B"/>
    <w:rsid w:val="00E158E2"/>
    <w:rsid w:val="00E15A33"/>
    <w:rsid w:val="00E1632D"/>
    <w:rsid w:val="00E16407"/>
    <w:rsid w:val="00E20104"/>
    <w:rsid w:val="00E24416"/>
    <w:rsid w:val="00E25684"/>
    <w:rsid w:val="00E2709D"/>
    <w:rsid w:val="00E27736"/>
    <w:rsid w:val="00E27E7C"/>
    <w:rsid w:val="00E300F2"/>
    <w:rsid w:val="00E301F3"/>
    <w:rsid w:val="00E303CC"/>
    <w:rsid w:val="00E3048A"/>
    <w:rsid w:val="00E3167B"/>
    <w:rsid w:val="00E323EE"/>
    <w:rsid w:val="00E32B7A"/>
    <w:rsid w:val="00E32DAB"/>
    <w:rsid w:val="00E33EC6"/>
    <w:rsid w:val="00E35A02"/>
    <w:rsid w:val="00E36282"/>
    <w:rsid w:val="00E3696E"/>
    <w:rsid w:val="00E36C85"/>
    <w:rsid w:val="00E37B7B"/>
    <w:rsid w:val="00E40848"/>
    <w:rsid w:val="00E40C54"/>
    <w:rsid w:val="00E4232F"/>
    <w:rsid w:val="00E428BE"/>
    <w:rsid w:val="00E44627"/>
    <w:rsid w:val="00E44900"/>
    <w:rsid w:val="00E4506F"/>
    <w:rsid w:val="00E4519C"/>
    <w:rsid w:val="00E455DD"/>
    <w:rsid w:val="00E45DBA"/>
    <w:rsid w:val="00E46C51"/>
    <w:rsid w:val="00E473FD"/>
    <w:rsid w:val="00E47DF0"/>
    <w:rsid w:val="00E50028"/>
    <w:rsid w:val="00E51EAD"/>
    <w:rsid w:val="00E52127"/>
    <w:rsid w:val="00E53E66"/>
    <w:rsid w:val="00E56117"/>
    <w:rsid w:val="00E573F0"/>
    <w:rsid w:val="00E6031F"/>
    <w:rsid w:val="00E60DE1"/>
    <w:rsid w:val="00E61F74"/>
    <w:rsid w:val="00E622A9"/>
    <w:rsid w:val="00E62AFF"/>
    <w:rsid w:val="00E62B6A"/>
    <w:rsid w:val="00E62E6A"/>
    <w:rsid w:val="00E630A8"/>
    <w:rsid w:val="00E631A4"/>
    <w:rsid w:val="00E635F4"/>
    <w:rsid w:val="00E63CD6"/>
    <w:rsid w:val="00E63E9C"/>
    <w:rsid w:val="00E6449D"/>
    <w:rsid w:val="00E64CB2"/>
    <w:rsid w:val="00E656FF"/>
    <w:rsid w:val="00E66156"/>
    <w:rsid w:val="00E66D21"/>
    <w:rsid w:val="00E6747A"/>
    <w:rsid w:val="00E67986"/>
    <w:rsid w:val="00E67C4E"/>
    <w:rsid w:val="00E7027B"/>
    <w:rsid w:val="00E707CD"/>
    <w:rsid w:val="00E71BA9"/>
    <w:rsid w:val="00E71F99"/>
    <w:rsid w:val="00E72A7E"/>
    <w:rsid w:val="00E741A9"/>
    <w:rsid w:val="00E75D23"/>
    <w:rsid w:val="00E76BD1"/>
    <w:rsid w:val="00E77118"/>
    <w:rsid w:val="00E807A6"/>
    <w:rsid w:val="00E82C05"/>
    <w:rsid w:val="00E832B2"/>
    <w:rsid w:val="00E83F64"/>
    <w:rsid w:val="00E848DB"/>
    <w:rsid w:val="00E84D43"/>
    <w:rsid w:val="00E858B6"/>
    <w:rsid w:val="00E85BC2"/>
    <w:rsid w:val="00E860D6"/>
    <w:rsid w:val="00E86C0C"/>
    <w:rsid w:val="00E86F19"/>
    <w:rsid w:val="00E86FEC"/>
    <w:rsid w:val="00E90799"/>
    <w:rsid w:val="00E94025"/>
    <w:rsid w:val="00E943F3"/>
    <w:rsid w:val="00E95888"/>
    <w:rsid w:val="00E95A29"/>
    <w:rsid w:val="00E963CE"/>
    <w:rsid w:val="00E96988"/>
    <w:rsid w:val="00E974F6"/>
    <w:rsid w:val="00EA0374"/>
    <w:rsid w:val="00EA128F"/>
    <w:rsid w:val="00EA1EBA"/>
    <w:rsid w:val="00EA26FE"/>
    <w:rsid w:val="00EA2C67"/>
    <w:rsid w:val="00EA3680"/>
    <w:rsid w:val="00EA39C7"/>
    <w:rsid w:val="00EA3FB0"/>
    <w:rsid w:val="00EA4232"/>
    <w:rsid w:val="00EA56CE"/>
    <w:rsid w:val="00EA60D0"/>
    <w:rsid w:val="00EA679A"/>
    <w:rsid w:val="00EA77C3"/>
    <w:rsid w:val="00EA7B5C"/>
    <w:rsid w:val="00EB003D"/>
    <w:rsid w:val="00EB151B"/>
    <w:rsid w:val="00EB1B90"/>
    <w:rsid w:val="00EB35C1"/>
    <w:rsid w:val="00EB3A97"/>
    <w:rsid w:val="00EB3E3E"/>
    <w:rsid w:val="00EB404F"/>
    <w:rsid w:val="00EB4194"/>
    <w:rsid w:val="00EB41A8"/>
    <w:rsid w:val="00EB4B38"/>
    <w:rsid w:val="00EB66B8"/>
    <w:rsid w:val="00EB6C91"/>
    <w:rsid w:val="00EB769F"/>
    <w:rsid w:val="00EB7868"/>
    <w:rsid w:val="00EB790D"/>
    <w:rsid w:val="00EC0778"/>
    <w:rsid w:val="00EC1B74"/>
    <w:rsid w:val="00EC1FE1"/>
    <w:rsid w:val="00EC2353"/>
    <w:rsid w:val="00EC345A"/>
    <w:rsid w:val="00EC3AE0"/>
    <w:rsid w:val="00EC40CD"/>
    <w:rsid w:val="00EC456A"/>
    <w:rsid w:val="00EC46E9"/>
    <w:rsid w:val="00EC5136"/>
    <w:rsid w:val="00EC65BB"/>
    <w:rsid w:val="00EC6FF6"/>
    <w:rsid w:val="00EC7289"/>
    <w:rsid w:val="00EC753C"/>
    <w:rsid w:val="00EC78A0"/>
    <w:rsid w:val="00EC7AE7"/>
    <w:rsid w:val="00ED03E1"/>
    <w:rsid w:val="00ED24AC"/>
    <w:rsid w:val="00ED2CE0"/>
    <w:rsid w:val="00ED355F"/>
    <w:rsid w:val="00ED4BAE"/>
    <w:rsid w:val="00ED62E3"/>
    <w:rsid w:val="00ED645C"/>
    <w:rsid w:val="00ED6E2D"/>
    <w:rsid w:val="00ED7094"/>
    <w:rsid w:val="00ED74C8"/>
    <w:rsid w:val="00ED78BA"/>
    <w:rsid w:val="00ED78EC"/>
    <w:rsid w:val="00ED7FE9"/>
    <w:rsid w:val="00EE13BD"/>
    <w:rsid w:val="00EE1EE6"/>
    <w:rsid w:val="00EE1EEA"/>
    <w:rsid w:val="00EE1EF7"/>
    <w:rsid w:val="00EE23DF"/>
    <w:rsid w:val="00EE4CDF"/>
    <w:rsid w:val="00EE51C1"/>
    <w:rsid w:val="00EE6934"/>
    <w:rsid w:val="00EE79C2"/>
    <w:rsid w:val="00EF009C"/>
    <w:rsid w:val="00EF0151"/>
    <w:rsid w:val="00EF03D6"/>
    <w:rsid w:val="00EF0463"/>
    <w:rsid w:val="00EF0693"/>
    <w:rsid w:val="00EF0AF3"/>
    <w:rsid w:val="00EF0D50"/>
    <w:rsid w:val="00EF257A"/>
    <w:rsid w:val="00EF38AE"/>
    <w:rsid w:val="00EF52F8"/>
    <w:rsid w:val="00EF53A4"/>
    <w:rsid w:val="00EF55F3"/>
    <w:rsid w:val="00EF5DEA"/>
    <w:rsid w:val="00EF677A"/>
    <w:rsid w:val="00EF6DA1"/>
    <w:rsid w:val="00EF759A"/>
    <w:rsid w:val="00F00D72"/>
    <w:rsid w:val="00F00F7A"/>
    <w:rsid w:val="00F0209D"/>
    <w:rsid w:val="00F023E0"/>
    <w:rsid w:val="00F02558"/>
    <w:rsid w:val="00F03B5C"/>
    <w:rsid w:val="00F03CD4"/>
    <w:rsid w:val="00F04075"/>
    <w:rsid w:val="00F05606"/>
    <w:rsid w:val="00F0750F"/>
    <w:rsid w:val="00F075B7"/>
    <w:rsid w:val="00F07901"/>
    <w:rsid w:val="00F07999"/>
    <w:rsid w:val="00F1007A"/>
    <w:rsid w:val="00F109F5"/>
    <w:rsid w:val="00F113C9"/>
    <w:rsid w:val="00F11858"/>
    <w:rsid w:val="00F132FA"/>
    <w:rsid w:val="00F143B3"/>
    <w:rsid w:val="00F14E25"/>
    <w:rsid w:val="00F15F5B"/>
    <w:rsid w:val="00F1642A"/>
    <w:rsid w:val="00F2064F"/>
    <w:rsid w:val="00F21A01"/>
    <w:rsid w:val="00F22A44"/>
    <w:rsid w:val="00F2396A"/>
    <w:rsid w:val="00F240E9"/>
    <w:rsid w:val="00F250D7"/>
    <w:rsid w:val="00F25545"/>
    <w:rsid w:val="00F2568F"/>
    <w:rsid w:val="00F263B2"/>
    <w:rsid w:val="00F26968"/>
    <w:rsid w:val="00F269BC"/>
    <w:rsid w:val="00F27D8C"/>
    <w:rsid w:val="00F30743"/>
    <w:rsid w:val="00F30938"/>
    <w:rsid w:val="00F31D36"/>
    <w:rsid w:val="00F326EF"/>
    <w:rsid w:val="00F330F9"/>
    <w:rsid w:val="00F33676"/>
    <w:rsid w:val="00F33F67"/>
    <w:rsid w:val="00F3457C"/>
    <w:rsid w:val="00F367D7"/>
    <w:rsid w:val="00F40B08"/>
    <w:rsid w:val="00F40E2B"/>
    <w:rsid w:val="00F411B9"/>
    <w:rsid w:val="00F41C8E"/>
    <w:rsid w:val="00F425A7"/>
    <w:rsid w:val="00F42C18"/>
    <w:rsid w:val="00F431C8"/>
    <w:rsid w:val="00F434B8"/>
    <w:rsid w:val="00F4440E"/>
    <w:rsid w:val="00F44C73"/>
    <w:rsid w:val="00F44F6E"/>
    <w:rsid w:val="00F45171"/>
    <w:rsid w:val="00F45FA4"/>
    <w:rsid w:val="00F460BB"/>
    <w:rsid w:val="00F4612A"/>
    <w:rsid w:val="00F471EA"/>
    <w:rsid w:val="00F5013F"/>
    <w:rsid w:val="00F50419"/>
    <w:rsid w:val="00F5071C"/>
    <w:rsid w:val="00F50FEB"/>
    <w:rsid w:val="00F518EF"/>
    <w:rsid w:val="00F540D5"/>
    <w:rsid w:val="00F54611"/>
    <w:rsid w:val="00F548DF"/>
    <w:rsid w:val="00F55010"/>
    <w:rsid w:val="00F55135"/>
    <w:rsid w:val="00F5633C"/>
    <w:rsid w:val="00F57A07"/>
    <w:rsid w:val="00F623F0"/>
    <w:rsid w:val="00F627B5"/>
    <w:rsid w:val="00F629DF"/>
    <w:rsid w:val="00F63069"/>
    <w:rsid w:val="00F65BC8"/>
    <w:rsid w:val="00F65F24"/>
    <w:rsid w:val="00F66DE5"/>
    <w:rsid w:val="00F67315"/>
    <w:rsid w:val="00F67C54"/>
    <w:rsid w:val="00F71007"/>
    <w:rsid w:val="00F7114A"/>
    <w:rsid w:val="00F727EA"/>
    <w:rsid w:val="00F74382"/>
    <w:rsid w:val="00F762EA"/>
    <w:rsid w:val="00F76FF6"/>
    <w:rsid w:val="00F7742A"/>
    <w:rsid w:val="00F77447"/>
    <w:rsid w:val="00F8080B"/>
    <w:rsid w:val="00F813B2"/>
    <w:rsid w:val="00F81B8A"/>
    <w:rsid w:val="00F826A1"/>
    <w:rsid w:val="00F82764"/>
    <w:rsid w:val="00F83C33"/>
    <w:rsid w:val="00F8429B"/>
    <w:rsid w:val="00F84BF2"/>
    <w:rsid w:val="00F86255"/>
    <w:rsid w:val="00F87B55"/>
    <w:rsid w:val="00F87EB9"/>
    <w:rsid w:val="00F87FA5"/>
    <w:rsid w:val="00F90687"/>
    <w:rsid w:val="00F91584"/>
    <w:rsid w:val="00F92BE3"/>
    <w:rsid w:val="00F92ED6"/>
    <w:rsid w:val="00F9345E"/>
    <w:rsid w:val="00F93D29"/>
    <w:rsid w:val="00F93ED3"/>
    <w:rsid w:val="00F94583"/>
    <w:rsid w:val="00F959E9"/>
    <w:rsid w:val="00F9657C"/>
    <w:rsid w:val="00F96649"/>
    <w:rsid w:val="00F9700A"/>
    <w:rsid w:val="00F979E0"/>
    <w:rsid w:val="00FA0033"/>
    <w:rsid w:val="00FA0D6F"/>
    <w:rsid w:val="00FA1B26"/>
    <w:rsid w:val="00FA1FF3"/>
    <w:rsid w:val="00FA2A53"/>
    <w:rsid w:val="00FA2E7B"/>
    <w:rsid w:val="00FA385E"/>
    <w:rsid w:val="00FA3FF2"/>
    <w:rsid w:val="00FA4280"/>
    <w:rsid w:val="00FA4500"/>
    <w:rsid w:val="00FA56D1"/>
    <w:rsid w:val="00FA56FC"/>
    <w:rsid w:val="00FA6926"/>
    <w:rsid w:val="00FA726F"/>
    <w:rsid w:val="00FA79BC"/>
    <w:rsid w:val="00FA7B50"/>
    <w:rsid w:val="00FA7ECA"/>
    <w:rsid w:val="00FB0292"/>
    <w:rsid w:val="00FB03A4"/>
    <w:rsid w:val="00FB1266"/>
    <w:rsid w:val="00FB144C"/>
    <w:rsid w:val="00FB1815"/>
    <w:rsid w:val="00FB274A"/>
    <w:rsid w:val="00FB2F37"/>
    <w:rsid w:val="00FB31AF"/>
    <w:rsid w:val="00FB342A"/>
    <w:rsid w:val="00FB3787"/>
    <w:rsid w:val="00FB399A"/>
    <w:rsid w:val="00FB52F7"/>
    <w:rsid w:val="00FB56B8"/>
    <w:rsid w:val="00FB5D98"/>
    <w:rsid w:val="00FB5F9C"/>
    <w:rsid w:val="00FB68EC"/>
    <w:rsid w:val="00FC2950"/>
    <w:rsid w:val="00FC3ABE"/>
    <w:rsid w:val="00FC3DAC"/>
    <w:rsid w:val="00FC49C3"/>
    <w:rsid w:val="00FC5B9F"/>
    <w:rsid w:val="00FC5C23"/>
    <w:rsid w:val="00FC6765"/>
    <w:rsid w:val="00FC6ABB"/>
    <w:rsid w:val="00FC7B29"/>
    <w:rsid w:val="00FD1F22"/>
    <w:rsid w:val="00FD26F4"/>
    <w:rsid w:val="00FD2832"/>
    <w:rsid w:val="00FD4AFE"/>
    <w:rsid w:val="00FD5AB1"/>
    <w:rsid w:val="00FD67F1"/>
    <w:rsid w:val="00FD6A9C"/>
    <w:rsid w:val="00FD6AFE"/>
    <w:rsid w:val="00FD6F5B"/>
    <w:rsid w:val="00FD6FBD"/>
    <w:rsid w:val="00FD76DC"/>
    <w:rsid w:val="00FE0E79"/>
    <w:rsid w:val="00FE10C5"/>
    <w:rsid w:val="00FE2140"/>
    <w:rsid w:val="00FE26FF"/>
    <w:rsid w:val="00FE279D"/>
    <w:rsid w:val="00FE3479"/>
    <w:rsid w:val="00FE348B"/>
    <w:rsid w:val="00FE34C8"/>
    <w:rsid w:val="00FE4023"/>
    <w:rsid w:val="00FE42AA"/>
    <w:rsid w:val="00FE4F89"/>
    <w:rsid w:val="00FE50F2"/>
    <w:rsid w:val="00FE67E1"/>
    <w:rsid w:val="00FE79D5"/>
    <w:rsid w:val="00FF023F"/>
    <w:rsid w:val="00FF0330"/>
    <w:rsid w:val="00FF132B"/>
    <w:rsid w:val="00FF1B7D"/>
    <w:rsid w:val="00FF26D4"/>
    <w:rsid w:val="00FF56F5"/>
    <w:rsid w:val="00FF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9DBC2FF-1400-4E34-B49B-D48613DA5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unhideWhenUsed/>
    <w:rsid w:val="001D3D58"/>
    <w:rPr>
      <w:rFonts w:ascii="宋体" w:eastAsia="宋体" w:hAnsi="Courier New" w:cs="Courier New"/>
      <w:szCs w:val="21"/>
    </w:rPr>
  </w:style>
  <w:style w:type="character" w:customStyle="1" w:styleId="Char">
    <w:name w:val="纯文本 Char"/>
    <w:basedOn w:val="a0"/>
    <w:link w:val="a3"/>
    <w:uiPriority w:val="99"/>
    <w:rsid w:val="001D3D58"/>
    <w:rPr>
      <w:rFonts w:ascii="宋体" w:eastAsia="宋体" w:hAnsi="Courier New" w:cs="Courier New"/>
      <w:szCs w:val="21"/>
    </w:rPr>
  </w:style>
  <w:style w:type="paragraph" w:styleId="a4">
    <w:name w:val="header"/>
    <w:basedOn w:val="a"/>
    <w:link w:val="Char0"/>
    <w:uiPriority w:val="99"/>
    <w:unhideWhenUsed/>
    <w:rsid w:val="00913F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913F6F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913F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913F6F"/>
    <w:rPr>
      <w:sz w:val="18"/>
      <w:szCs w:val="18"/>
    </w:rPr>
  </w:style>
  <w:style w:type="character" w:styleId="a6">
    <w:name w:val="Hyperlink"/>
    <w:basedOn w:val="a0"/>
    <w:uiPriority w:val="99"/>
    <w:unhideWhenUsed/>
    <w:rsid w:val="00EC7AE7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23052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4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0636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37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847EEA-CD5F-48EA-B6D0-8836CA793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2174</TotalTime>
  <Pages>135</Pages>
  <Words>49148</Words>
  <Characters>280150</Characters>
  <Application>Microsoft Office Word</Application>
  <DocSecurity>0</DocSecurity>
  <Lines>2334</Lines>
  <Paragraphs>657</Paragraphs>
  <ScaleCrop>false</ScaleCrop>
  <Company/>
  <LinksUpToDate>false</LinksUpToDate>
  <CharactersWithSpaces>328641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bnds</dc:creator>
  <cp:keywords/>
  <dc:description/>
  <cp:lastModifiedBy>bnds</cp:lastModifiedBy>
  <cp:revision>439</cp:revision>
  <dcterms:created xsi:type="dcterms:W3CDTF">2025-10-11T03:52:00Z</dcterms:created>
  <dcterms:modified xsi:type="dcterms:W3CDTF">2026-08-02T10:55:00Z</dcterms:modified>
</cp:coreProperties>
</file>