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202</w:t>
      </w:r>
      <w:r w:rsidR="00F4440E">
        <w:rPr>
          <w:rFonts w:ascii="宋体" w:eastAsia="宋体" w:hAnsi="宋体" w:cs="宋体"/>
          <w:b/>
          <w:color w:val="000000"/>
          <w:sz w:val="28"/>
          <w:szCs w:val="28"/>
        </w:rPr>
        <w:t>6</w:t>
      </w: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年第</w:t>
      </w:r>
      <w:r w:rsidR="00A55058">
        <w:rPr>
          <w:rFonts w:ascii="宋体" w:eastAsia="宋体" w:hAnsi="宋体" w:cs="宋体"/>
          <w:b/>
          <w:color w:val="000000"/>
          <w:sz w:val="28"/>
          <w:szCs w:val="28"/>
        </w:rPr>
        <w:t>30</w:t>
      </w: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周</w:t>
      </w:r>
    </w:p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境外学者发表的结核病英文文章摘要</w:t>
      </w:r>
    </w:p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（</w:t>
      </w:r>
      <w:r w:rsidR="00BD1B0E">
        <w:rPr>
          <w:rFonts w:ascii="宋体" w:eastAsia="宋体" w:hAnsi="宋体" w:cs="宋体"/>
          <w:b/>
          <w:color w:val="000000"/>
          <w:sz w:val="28"/>
          <w:szCs w:val="28"/>
        </w:rPr>
        <w:t>8</w:t>
      </w:r>
      <w:r w:rsidR="008043D7">
        <w:rPr>
          <w:rFonts w:ascii="宋体" w:eastAsia="宋体" w:hAnsi="宋体" w:cs="宋体"/>
          <w:b/>
          <w:color w:val="000000"/>
          <w:sz w:val="28"/>
          <w:szCs w:val="28"/>
        </w:rPr>
        <w:t>1</w:t>
      </w:r>
      <w:bookmarkStart w:id="0" w:name="_GoBack"/>
      <w:bookmarkEnd w:id="0"/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篇）</w:t>
      </w:r>
    </w:p>
    <w:p w:rsidR="0048441B" w:rsidRPr="00440A9B" w:rsidRDefault="0048441B" w:rsidP="0048441B">
      <w:pPr>
        <w:jc w:val="left"/>
        <w:rPr>
          <w:rFonts w:ascii="宋体" w:eastAsia="宋体" w:hAnsi="宋体" w:cs="宋体"/>
          <w:b/>
          <w:color w:val="FF0000"/>
          <w:szCs w:val="24"/>
        </w:rPr>
      </w:pPr>
    </w:p>
    <w:p w:rsidR="0048441B" w:rsidRPr="00913F6F" w:rsidRDefault="00AE3580" w:rsidP="0048441B">
      <w:pPr>
        <w:jc w:val="left"/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 w:hint="eastAsia"/>
          <w:b/>
          <w:color w:val="FF0000"/>
          <w:szCs w:val="24"/>
        </w:rPr>
        <w:t>PubMed  Publication date: 202</w:t>
      </w:r>
      <w:r w:rsidR="009A67B7">
        <w:rPr>
          <w:rFonts w:ascii="宋体" w:eastAsia="宋体" w:hAnsi="宋体" w:cs="宋体"/>
          <w:b/>
          <w:color w:val="FF0000"/>
          <w:szCs w:val="24"/>
        </w:rPr>
        <w:t>6</w:t>
      </w:r>
      <w:r w:rsidR="008236E7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62475A">
        <w:rPr>
          <w:rFonts w:ascii="宋体" w:eastAsia="宋体" w:hAnsi="宋体" w:cs="宋体"/>
          <w:b/>
          <w:color w:val="FF0000"/>
          <w:szCs w:val="24"/>
        </w:rPr>
        <w:t>7</w:t>
      </w:r>
      <w:r w:rsidR="0048441B" w:rsidRPr="00913F6F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A55058">
        <w:rPr>
          <w:rFonts w:ascii="宋体" w:eastAsia="宋体" w:hAnsi="宋体" w:cs="宋体"/>
          <w:b/>
          <w:color w:val="FF0000"/>
          <w:szCs w:val="24"/>
        </w:rPr>
        <w:t>20</w:t>
      </w:r>
      <w:r w:rsidR="0038007F">
        <w:rPr>
          <w:rFonts w:ascii="宋体" w:eastAsia="宋体" w:hAnsi="宋体" w:cs="宋体"/>
          <w:b/>
          <w:color w:val="FF000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FF0000"/>
          <w:szCs w:val="24"/>
        </w:rPr>
        <w:t>---</w:t>
      </w:r>
      <w:r w:rsidR="001F13B5">
        <w:rPr>
          <w:rFonts w:ascii="宋体" w:eastAsia="宋体" w:hAnsi="宋体" w:cs="宋体"/>
          <w:b/>
          <w:color w:val="FF000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FF0000"/>
          <w:szCs w:val="24"/>
        </w:rPr>
        <w:t>202</w:t>
      </w:r>
      <w:r w:rsidR="00F4440E">
        <w:rPr>
          <w:rFonts w:ascii="宋体" w:eastAsia="宋体" w:hAnsi="宋体" w:cs="宋体"/>
          <w:b/>
          <w:color w:val="FF0000"/>
          <w:szCs w:val="24"/>
        </w:rPr>
        <w:t>6</w:t>
      </w:r>
      <w:r w:rsidR="00A46C8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69110E">
        <w:rPr>
          <w:rFonts w:ascii="宋体" w:eastAsia="宋体" w:hAnsi="宋体" w:cs="宋体"/>
          <w:b/>
          <w:color w:val="FF0000"/>
          <w:szCs w:val="24"/>
        </w:rPr>
        <w:t>7</w:t>
      </w:r>
      <w:r w:rsidR="0048441B" w:rsidRPr="00913F6F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A55058">
        <w:rPr>
          <w:rFonts w:ascii="宋体" w:eastAsia="宋体" w:hAnsi="宋体" w:cs="宋体"/>
          <w:b/>
          <w:color w:val="FF0000"/>
          <w:szCs w:val="24"/>
        </w:rPr>
        <w:t>26</w:t>
      </w:r>
    </w:p>
    <w:p w:rsidR="006C3F55" w:rsidRDefault="0048441B" w:rsidP="00763AE2">
      <w:pPr>
        <w:rPr>
          <w:rFonts w:ascii="宋体" w:eastAsia="宋体" w:hAnsi="宋体" w:cs="宋体"/>
          <w:b/>
          <w:color w:val="FF0000"/>
          <w:szCs w:val="24"/>
        </w:rPr>
      </w:pPr>
      <w:r w:rsidRPr="00913F6F">
        <w:rPr>
          <w:rFonts w:ascii="宋体" w:eastAsia="宋体" w:hAnsi="宋体" w:cs="宋体" w:hint="eastAsia"/>
          <w:b/>
          <w:color w:val="FF0000"/>
          <w:szCs w:val="24"/>
        </w:rPr>
        <w:t>(tuberculosis[Title/Abstract]) AND (English[Language])</w:t>
      </w:r>
    </w:p>
    <w:p w:rsidR="00FA0D6F" w:rsidRDefault="00FA0D6F" w:rsidP="003D46F1">
      <w:pPr>
        <w:rPr>
          <w:rFonts w:ascii="宋体" w:eastAsia="宋体" w:hAnsi="宋体" w:cs="宋体"/>
          <w:b/>
          <w:color w:val="FF0000"/>
          <w:szCs w:val="24"/>
        </w:rPr>
      </w:pPr>
    </w:p>
    <w:p w:rsidR="00330A46" w:rsidRPr="00951433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951433">
        <w:rPr>
          <w:rFonts w:ascii="宋体" w:eastAsia="宋体" w:hAnsi="宋体" w:cs="宋体"/>
          <w:b/>
          <w:color w:val="FF0000"/>
          <w:szCs w:val="24"/>
        </w:rPr>
        <w:t>1. Infect Drug Resist. 2026 Jul 21;19:579272. doi: 10</w:t>
      </w:r>
      <w:r w:rsidR="00951433" w:rsidRPr="00951433">
        <w:rPr>
          <w:rFonts w:ascii="宋体" w:eastAsia="宋体" w:hAnsi="宋体" w:cs="宋体"/>
          <w:b/>
          <w:color w:val="FF0000"/>
          <w:szCs w:val="24"/>
        </w:rPr>
        <w:t xml:space="preserve">.2147/IDR.S579272. eCollection </w:t>
      </w:r>
      <w:r w:rsidRPr="00951433">
        <w:rPr>
          <w:rFonts w:ascii="宋体" w:eastAsia="宋体" w:hAnsi="宋体" w:cs="宋体"/>
          <w:b/>
          <w:color w:val="FF0000"/>
          <w:szCs w:val="24"/>
        </w:rPr>
        <w:t>2026.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Outcome of Tuberculosis Treatment in the Presence of SARS-CoV-2 Anti-RBD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Antibody.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Muflihah H(1)(2), Yulianto FA(3), Maharani W(4), Hanipan AR(2).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(1)Department of Pharmacology, Faculty of Medicine, Universitas Islam Bandung,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Bandung, Indonesia.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(2)Immunoserology and Cell Culture, Research Laboratory, Faculty of Medicine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Universitas Islam Bandung, Bandung, Indonesia.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(3)Department of Public Health, Faculty of Medicine, Universitas Islam Bandung,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Bandung, Indonesia.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(4)Department of Microbiology, Faculty of Medicine, Universitas Islam Bandung,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Bandung, Indonesia.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951433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Vaccination or infection with severe acute respiratory syndrome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coronavirus 2 (SARS-CoV-2) can induce specific antibodies. The level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anti-spike receptor-binding (RBD) antibody may last long and interact with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immune response to tuberculosis (TB). We aimed to investigate the impact of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anti-RBD antibody level at baseline on the outcome of the intensive phase of TB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treatment.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951433">
        <w:rPr>
          <w:rFonts w:ascii="宋体" w:eastAsia="宋体" w:hAnsi="宋体" w:cs="宋体"/>
          <w:b/>
          <w:color w:val="000000" w:themeColor="text1"/>
          <w:szCs w:val="24"/>
        </w:rPr>
        <w:t xml:space="preserve">PATIENTS AND METHODS: 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This cohort study recruited newly diagnosed TB patients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from September 2022 to May 2023. Observation was conducted at baseline and after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two months of TB treatment. Interviews and physical examinations were performed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for patients with a history of Coronavirus Disease 2019 (COVID-19) vaccination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or infection and anthropometric data, respectively. Peripheral blood was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collected for baseline assessment of anti-RBD antibodies, an interferon gamma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release assay (IGRA), and complete blood count. The clinical outcomes of TB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treatment include sputum conversion, hematology parameters and body mass index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(BMI).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951433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Among the 63 participants, the majority were vaccinated for COVID-19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(73,02%), underweight (58.73%), and IGRA positive (79,03%), increased median ESR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(71.5 (IQR 18-111) mm/hour), and slightly low median lymphocyte proportion (19.5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(IQR 7-33) %) at baseline. The median titer of anti-RBD antibodies at baseline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was 1,584.2 (IQR 95.6-34,379.3) AU/mL/. At two months of TB treatment, all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returned participants had sputum conversion and improved BMI and normal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hematology parameters. The anti-RBD antibody level was associated with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baseline BMI (β =0.00019, 95% CI: 0.0001-0.0003, p=0.00) and post treatment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lymphocyte count (β=0.0003 (95% CI: 0.0001-0.001, p=0.02).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951433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Our study revealed that susceptible TB patients had favorable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outcomes after 2 months of TB treatment when baseline anti-RBD antibody was high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at baseline. We suggest that larger studies are needed to confirm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relationship.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2026 Muflihah et al.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10.2147/IDR.S579272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PMC13401388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42502758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951433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951433">
        <w:rPr>
          <w:rFonts w:ascii="宋体" w:eastAsia="宋体" w:hAnsi="宋体" w:cs="宋体"/>
          <w:b/>
          <w:color w:val="FF0000"/>
          <w:szCs w:val="24"/>
        </w:rPr>
        <w:t xml:space="preserve">2. Vet Med Int. 2026 Jul 25;2026:3520761. doi: 10.1155/vmi/3520761. eCollection </w:t>
      </w:r>
    </w:p>
    <w:p w:rsidR="00330A46" w:rsidRPr="00951433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951433">
        <w:rPr>
          <w:rFonts w:ascii="宋体" w:eastAsia="宋体" w:hAnsi="宋体" w:cs="宋体"/>
          <w:b/>
          <w:color w:val="FF0000"/>
          <w:szCs w:val="24"/>
        </w:rPr>
        <w:t>2026.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Prevalence and Risk Factors of Tuberculosis Lesions in Cattle Slaughtered for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Human Consumption at the Slaughterhouses in the City of Ngaoundéré, Cameroon.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Sambo JJN(1), Sandeu MM(2)(3)(4), Soungou SW(2), Ondua M(3), Velhima EA(5), Ngwa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VN(3), Mohammadou BA(6), Mamoudou A(7).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(1)Division of Microbiology, Agricultural Research Center, Institute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Agricultural Research for Development, P.O. Box 65, Wakwa, Cameroon, arc.sci.eg.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(2)Department of Hygiene and Animal Foodstuffs Industry, School of Veterinary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Medicine and Sciences, University of Ngaoundéré, P.O. Box 454, Ngaoundere,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Cameroon, univ-ndere.cm.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(3)Department of Microbiology and Infectious Diseases, School of Veterinary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Medicine and Sciences, University of Ngaoundéré, P.O. Box 454, Ngaoundere,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Cameroon, univ-ndere.cm.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(4)Centre for Research in Infectious Diseases, LSTM-Research Unit, P.O. Box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3591, Yaoundé, Cameroon, impm-cameroun.org.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(5)Laboratory of Molecular Biology and Biotechnology, Center for Research 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Health and Priority Pathologies, Institute of Medical Research and Medicinal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Plants Studies, P.O. Box 13033, Yaoundé, Cameroon, impm-cameroun.org.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(6)Department of Food Engineering and Quality Control, University Institute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Technology, University of Ngaoundere, P.O. Box 454, Ngaoundere, Cameroon,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>univ-ndere.cm.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(7)Department of Parasitology, School of Veterinary Medicine and Sciences,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University of Ngaoundéré, P.O. Box 454, Ngaoundere, Cameroon, univ-ndere.cm.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951433">
        <w:rPr>
          <w:rFonts w:ascii="宋体" w:eastAsia="宋体" w:hAnsi="宋体" w:cs="宋体"/>
          <w:b/>
          <w:color w:val="000000" w:themeColor="text1"/>
          <w:szCs w:val="24"/>
        </w:rPr>
        <w:t>INTRODUCTION: B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ovine tuberculosis (bTB) is a zoonotic disease of major public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health concern, particularly in developing countries such as Cameroon, where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control measures are poorly implemented and there is a high risk of human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infection. This study aimed to estimate the prevalence of bTB lesions 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slaughtered cattle and identify the associated risk factors in slaughterhouses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 the city of Ngaoundéré.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951433">
        <w:rPr>
          <w:rFonts w:ascii="宋体" w:eastAsia="宋体" w:hAnsi="宋体" w:cs="宋体"/>
          <w:b/>
          <w:color w:val="000000" w:themeColor="text1"/>
          <w:szCs w:val="24"/>
        </w:rPr>
        <w:t>METHODOLOGY: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A cross-sectional study was conducted to investigate the prevalence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of tuberculosis lesions in two slaughterhouses between April and October 2024.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 lesions were identified during postmortem inspections performed by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veterinary inspectors on slaughtered animals, and the presence of acid-fast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bacilli (AFB) in these lesions was detected using Ziehl-Neelsen (ZN) staining.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 addition, a structured questionnaire was administered to assess potential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risk factors, and their associations with the prevalence of tuberculosis were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analyzed using univariate and multivariate logistic regression models.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951433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Among the 1,256 cattle examined, the overall prevalence of bTB was 5.1%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(95% CI: 3.88-6.22). Suspicious lesions were detected in 64 carcasses, of which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17.14% were positive for AFB, suggestive of Mycobacterium spp. Regarding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multivariable analysis, only cattle origin remained significantly associated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with the outcome, particularly for animals from Touboro (OR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>=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18.9; 95% CI: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3.3-367.1) and Mbaiboum (OR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>=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14.9; 95% CI: 2.5-292.2). During the study period,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financial losses were estimated based on 302.5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kg of organs condemned due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 infection, using prevailing market prices. The total losses were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estimated at 541,200 CFA francs. The organs contributing to the highest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financial losses were the lungs and carcasses during the study period in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surveyed abattoirs.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951433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This study confirmed the presence of tuberculosis in slaughterhouses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 Ngaoundéré, with infected cattle originating from various border areas of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town. It also highlighted that the lungs and carcasses were the most frequently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affected, resulting in significant financial losses for butchers. These findings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raise food safety concerns in Ngaoundéré and indicate a potential risk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zoonotic transmission of the pathogen.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Copyright © 2026 Jean Jacques Nenba Sambo et al. Veterinary Medicine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International published by John Wiley &amp; Sons Ltd.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10.1155/vmi/3520761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PMC13401342</w:t>
      </w:r>
    </w:p>
    <w:p w:rsidR="00330A46" w:rsidRPr="00330A46" w:rsidRDefault="00951433" w:rsidP="00330A46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42502468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951433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330A46" w:rsidRPr="00951433">
        <w:rPr>
          <w:rFonts w:ascii="宋体" w:eastAsia="宋体" w:hAnsi="宋体" w:cs="宋体"/>
          <w:b/>
          <w:color w:val="FF0000"/>
          <w:szCs w:val="24"/>
        </w:rPr>
        <w:t xml:space="preserve">. Vaccine. 2026 Jul 25;88:128971. doi: 10.1016/j.vaccine.2026.128971. Online </w:t>
      </w:r>
      <w:r w:rsidR="00951433" w:rsidRPr="00951433">
        <w:rPr>
          <w:rFonts w:ascii="宋体" w:eastAsia="宋体" w:hAnsi="宋体" w:cs="宋体"/>
          <w:b/>
          <w:color w:val="FF0000"/>
          <w:szCs w:val="24"/>
        </w:rPr>
        <w:lastRenderedPageBreak/>
        <w:t xml:space="preserve">ahead </w:t>
      </w:r>
      <w:r w:rsidR="00330A46" w:rsidRPr="00951433">
        <w:rPr>
          <w:rFonts w:ascii="宋体" w:eastAsia="宋体" w:hAnsi="宋体" w:cs="宋体"/>
          <w:b/>
          <w:color w:val="FF0000"/>
          <w:szCs w:val="24"/>
        </w:rPr>
        <w:t>of 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Multi-peptide subunit vaccination induced IFN-γ but lacked efficacy against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Mycobacterium avium subsp. paratuberculosis in a goat challenge trial.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Erbs G(1), Lybeck K(2), Jakobsen JT(1), Nguyen LTM(3), Henriksen ES(3), Bull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TJ(4), Aagaard C(1), Tollefsen S(5), Jungersen G(6).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(1)Department of Infectious Disease Immunology, Center for Vaccine Research,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Statens Serum Institut, Copenhagen, Denmark.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(2)Department of Microbiology, Norwegian Veterinary Institute, Ås, Norway.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(3)Department of Health Technology, Experimental and Translational Immunology,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Technical University of Denmark, Kgs. Lyngby, Denmark.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(4)School of Health and Medical Sciences, City St George's University of London,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United Kingdom.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(5)Norwegian Institute of Public Health, Oslo, Norway.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(6)Department of Infectious Disease Immunology, Center for Vaccine Research,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Statens Serum Institut, Copenhagen, Denmark. Electronic address: grju@ssi.dk.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Paratuberculosis is a chronic debilitating disease in ruminants caused by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infection with Mycobacterium avium subsp. paratuberculosis (MAP). In endemic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herds, animals are infected shortly after birth with no effective control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measures beyond hygiene and sanitation programs. Current vaccines are only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moderately effective and may interfere with surveillance and diagnosis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 caused by M. bovis. In the current vaccination trial, we studied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efficacy of a vaccine against MAP in goats based on multiple 15-18 mer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immunogenic peptides that are specific to MAP to not interfere with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diagnosis of bovine tuberculosis. All goats were experimentally inoculated with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MAP bacteria at day 0, 3 and 7. The negative control group was left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unvaccinated, and the positive control group was vaccinated with a single dose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of a commercially available heat-inactivated whole-cell vaccine Gudair® 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parallel with inoculation at day 0. Of the three vaccine groups, one group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goats was vaccinated with 23 peptides at day 0 (Pre23), other goats were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post-exposure vaccinated 10 weeks after MAP inoculation with the same 23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peptides (Post23) or with 35 peptides (Post35). All peptide vaccinated groups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were revaccinated with the same peptides 4 weeks later. The vaccines were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immunogenic but were not able to induce a protective immune response and only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Gudair® vaccine was capable of lowering the MAP bacterial load in tissues.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Adverse effects in the form of local reactions at the site of injection were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seen after vaccination with Gudair® and with the peptide vaccines. The different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combinations of peptides tested neither revealed an advantage of adding 12 extra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peptides in the Post35 vaccine nor of post-exposure vaccination compared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vaccination at the time of infection.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Copyright © 2026 The Authors. Published by Elsevier Ltd.. All rights reserved.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10.1016/j.vaccine.2026.128971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42501714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951433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330A46" w:rsidRPr="00951433">
        <w:rPr>
          <w:rFonts w:ascii="宋体" w:eastAsia="宋体" w:hAnsi="宋体" w:cs="宋体"/>
          <w:b/>
          <w:color w:val="FF0000"/>
          <w:szCs w:val="24"/>
        </w:rPr>
        <w:t xml:space="preserve">. Ecol Evol. 2026 Jul 23;16(7):e74058. doi: 10.1002/ece3.74058. eCollection 2026 </w:t>
      </w:r>
    </w:p>
    <w:p w:rsidR="00330A46" w:rsidRPr="00951433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951433">
        <w:rPr>
          <w:rFonts w:ascii="宋体" w:eastAsia="宋体" w:hAnsi="宋体" w:cs="宋体"/>
          <w:b/>
          <w:color w:val="FF0000"/>
          <w:szCs w:val="24"/>
        </w:rPr>
        <w:t>Jul.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Multidisciplinary Exploration of Computed-Tomographic and Ancient-DNA Data of an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Iron Age Skull From Latvia With Multiple Lytic Bone Lesions: Differential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Diagnosis Between Metastatic Carcinoma, Multiple Myeloma and Skeletal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Akermane-Pokšāne A(1), </w:t>
      </w:r>
      <w:r w:rsidRPr="00330A46">
        <w:rPr>
          <w:rFonts w:ascii="Cambria" w:eastAsia="宋体" w:hAnsi="Cambria" w:cs="Cambria"/>
          <w:color w:val="000000" w:themeColor="text1"/>
          <w:szCs w:val="24"/>
        </w:rPr>
        <w:t>Ķ</w:t>
      </w:r>
      <w:r w:rsidRPr="00330A46">
        <w:rPr>
          <w:rFonts w:ascii="宋体" w:eastAsia="宋体" w:hAnsi="宋体" w:cs="宋体"/>
          <w:color w:val="000000" w:themeColor="text1"/>
          <w:szCs w:val="24"/>
        </w:rPr>
        <w:t>imsis J(1), P</w:t>
      </w:r>
      <w:r w:rsidRPr="00330A46">
        <w:rPr>
          <w:rFonts w:ascii="宋体" w:eastAsia="宋体" w:hAnsi="宋体" w:cs="宋体" w:hint="eastAsia"/>
          <w:color w:val="000000" w:themeColor="text1"/>
          <w:szCs w:val="24"/>
        </w:rPr>
        <w:t>ē</w:t>
      </w:r>
      <w:r w:rsidRPr="00330A46">
        <w:rPr>
          <w:rFonts w:ascii="宋体" w:eastAsia="宋体" w:hAnsi="宋体" w:cs="宋体"/>
          <w:color w:val="000000" w:themeColor="text1"/>
          <w:szCs w:val="24"/>
        </w:rPr>
        <w:t>tersone-Gordina E(2), Vilc</w:t>
      </w:r>
      <w:r w:rsidRPr="00330A46">
        <w:rPr>
          <w:rFonts w:ascii="宋体" w:eastAsia="宋体" w:hAnsi="宋体" w:cs="宋体" w:hint="eastAsia"/>
          <w:color w:val="000000" w:themeColor="text1"/>
          <w:szCs w:val="24"/>
        </w:rPr>
        <w:t>ā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ne A(2),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Gerhards G(2), Pēterfelds M(3), Ranka R(1).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(1)Latvian Biomedical Research and Study Centre Riga Latvia.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(2)Faculty of Humanities, Institute of Latvian History University of Latvia Riga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Latvia.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(3)Department of Radiology Riga Stradi</w:t>
      </w:r>
      <w:r w:rsidRPr="00330A46">
        <w:rPr>
          <w:rFonts w:ascii="Cambria" w:eastAsia="宋体" w:hAnsi="Cambria" w:cs="Cambria"/>
          <w:color w:val="000000" w:themeColor="text1"/>
          <w:szCs w:val="24"/>
        </w:rPr>
        <w:t>ņ</w:t>
      </w:r>
      <w:r w:rsidRPr="00330A46">
        <w:rPr>
          <w:rFonts w:ascii="宋体" w:eastAsia="宋体" w:hAnsi="宋体" w:cs="宋体" w:hint="eastAsia"/>
          <w:color w:val="000000" w:themeColor="text1"/>
          <w:szCs w:val="24"/>
        </w:rPr>
        <w:t>š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University Riga Latvia.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Multiple lytic lesions of the cranial vault are among the most diagnostically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ambiguous findings in paleopathology, since at least three pathological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processes (metastatic carcinoma, multiple myeloma and disseminated tuberculosis)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can produce morphologically convergent "punched-out" foci, while diagenetic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erosion can mimic all three. Differential diagnosis based on macroscopic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observation alone is therefore frequently inconclusive. The recent debate about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whether multiple myeloma should be regarded as an ancient disease at all further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reinforces the need for adjunct diagnostic streams. We hypothesised that, in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single archaeological individual presenting with multiple lytic cranial lesions,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integration of high-resolution computed tomography (CT, including assessment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of the postcranial skeleton) with shotgun ancient DNA (aDNA) analysis can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constrain the differential diagnosis between metastatic carcinoma, multiple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myeloma and tuberculosis even when overall aDNA preservation is limited. We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analysed the cranium and the first cervical vertebra (atlas, C1) of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40-50-year-old female from a disturbed grave at the </w:t>
      </w:r>
      <w:r w:rsidRPr="00330A46">
        <w:rPr>
          <w:rFonts w:ascii="Cambria" w:eastAsia="宋体" w:hAnsi="Cambria" w:cs="Cambria"/>
          <w:color w:val="000000" w:themeColor="text1"/>
          <w:szCs w:val="24"/>
        </w:rPr>
        <w:t>Č</w:t>
      </w:r>
      <w:r w:rsidRPr="00330A46">
        <w:rPr>
          <w:rFonts w:ascii="宋体" w:eastAsia="宋体" w:hAnsi="宋体" w:cs="宋体"/>
          <w:color w:val="000000" w:themeColor="text1"/>
          <w:szCs w:val="24"/>
        </w:rPr>
        <w:t>unk</w:t>
      </w:r>
      <w:r w:rsidRPr="00330A46">
        <w:rPr>
          <w:rFonts w:ascii="宋体" w:eastAsia="宋体" w:hAnsi="宋体" w:cs="宋体" w:hint="eastAsia"/>
          <w:color w:val="000000" w:themeColor="text1"/>
          <w:szCs w:val="24"/>
        </w:rPr>
        <w:t>ā</w:t>
      </w:r>
      <w:r w:rsidRPr="00330A46">
        <w:rPr>
          <w:rFonts w:ascii="宋体" w:eastAsia="宋体" w:hAnsi="宋体" w:cs="宋体"/>
          <w:color w:val="000000" w:themeColor="text1"/>
          <w:szCs w:val="24"/>
        </w:rPr>
        <w:t>ni-Dre</w:t>
      </w:r>
      <w:r w:rsidRPr="00330A46">
        <w:rPr>
          <w:rFonts w:ascii="Cambria" w:eastAsia="宋体" w:hAnsi="Cambria" w:cs="Cambria"/>
          <w:color w:val="000000" w:themeColor="text1"/>
          <w:szCs w:val="24"/>
        </w:rPr>
        <w:t>ņģ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eri cemetery,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Latvia, dated to the 10th CEntury CE, by subjecting it to direct visual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paleopathological examination, computed tomographic and aDNA analysis. CT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aDNA streams support different leading diagnoses: CT favours metastatic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carcinoma based on irregular margins and lesion-size variability, whereas aDNA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provides a weak signal compatible with tuberculosis. Hyperdiploid multiple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myeloma is effectively excluded. The combined cranial-plus-cervical pattern is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consistent with hematogenously disseminated systemic disease, and the partial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diagenetic component requires histological and X-ray fluorescence spectrometry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authentication of lesion margins. The discordance between CT and aDNA streams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demonstrates that single-stream paleopathological assessment can be misleading,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and that targeted M.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>tuberculosis in-solution capture should be the next step.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2026 The Author(s). Ecology and Evolution published by British Ecological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Society and John Wiley &amp; Sons Ltd.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10.1002/ece3.74058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PMC13395577</w:t>
      </w:r>
    </w:p>
    <w:p w:rsidR="00330A46" w:rsidRPr="00330A46" w:rsidRDefault="00951433" w:rsidP="00330A46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42500200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951433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330A46" w:rsidRPr="00951433">
        <w:rPr>
          <w:rFonts w:ascii="宋体" w:eastAsia="宋体" w:hAnsi="宋体" w:cs="宋体"/>
          <w:b/>
          <w:color w:val="FF0000"/>
          <w:szCs w:val="24"/>
        </w:rPr>
        <w:t xml:space="preserve">. Open Forum Infect Dis. 2026 Jul 24;13(7):ofag437. doi: 10.1093/ofid/ofag437. </w:t>
      </w:r>
    </w:p>
    <w:p w:rsidR="00330A46" w:rsidRPr="00951433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951433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Associations Between QuantiFERON-TB Gold Plus IFNγ Concentrations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Progression to Symptomatic Tuberculosis in Global High-Burden TB Settings.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Sunshine J(1), Shaffer M(1), Han LL(1), Gaikwad D(2), Houana AA(3), Gler MT(4),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Hadinegoro SR(5), Hanekom WA(6), Lama JR(7), Muyoyeta M(8), Musala S(9), Nduba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V(10), Rolla VC(11), Roy T(12), Sutherland JS(13), Khosa C(14)(15)(16), Wajja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A(17)(18), Walker TM(19)(20), Cinar A(1), Schmidt AC(1), Dagnew AF(1), Frahm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N(1); for TBV02-E01 Study Group; for TBV02-E01 Study Group.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Collaborators: Bhorat Q, Loveday M, Palma CD, Lombaard J, Cossie S, Geldenhuys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JG, Ahmed K, Spooner E, Tina L, Ogutu B, McClelland R, Kilembe W, Kwame 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Inambao M, Sprinz E, Cadena E, Gonong JR, Berame EJ, Isidro MGD, Zabat G, Veto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RGM, Lama JR, Sanchez E, Nankabirwa V, Nguyen HL, Nguyen VN, Marks G,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Alisjahbana B, Burhan E, Kaswandani N, Mandiangu GLM, Koko HZS, Kabunda EM,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Viegas S, Garcia-Basteiro AL.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(1)Clinical Development, Gates Medical Research Institute, Cambridge,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Massachusetts,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(2)Department of Pulmonary Medicine, PCMC'S PGI YCM Hospital, Pune, Maharashtra,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(3)Centro de Investigação em Saúde de Manhiça (CISM), Maputo, Mozambique.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(4)TB HIV Innovations and Clinical Research Foundation, Cavite, Philippines.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(5)Department of Child Health Faculty of Medicine, University of Indonesia,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Jakarta, Indonesia.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(6)Africa Health Research Institute, KwaZulu-Natal, South Africa.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(7)Asociación Civil Impacta Salud y Educación, Lima, Peru.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(8)Centre for Infectious Disease Research in Zambia (CIDRZ), Lusaka, Zambia.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(9)National Tuberculosis Program/National TB Reference Laboratory', Kinshasa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City, DRC.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(10)Kenya Medical Research Institute, Centre for Respiratory Diseases Research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(CRDR), Nairobi, Kenya.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(11)Clinical Research Laboratory on Mycobacteria, National Institute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Infectious Diseases Evandro Chagas-Fiocruz, Rio de Janeiro, Brazil.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(12)IRD Global, Bangladesh Country Office, Dhaka, Bangladesh.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(13)Vaccines and Immunity Theme, Medical Research Council Unit The Gambia at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London School of Hygiene and Tropical Medicine, Fajara, The Gambia.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(14)Instituto Nacional de Saúde (INS), Marracuene, Mozambique.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(15)Departments of International Public Health and Clinical Sciences, Liverpool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School of Tropical Medicine, Liverpool, UK.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(16)Department of Physiological Science, Clinical Pharmacology, Faculty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Medicine, Eduardo Mondlane University, Maputo, Mozambique.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(17)Medical Research Council, Uganda Virus Research Institute and London School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of Hygiene and Tropical Medicine Uganda Research Unit, Entebbe, Uganda.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(18)Department of Clinical Research, London School of Hygiene and Tropical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Medicine, London, UK.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(19)Oxford University Clinical Research Unit, Ho Chi Minh City, Vietnam.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(20)Centre for Tropical Medicine and Global Health, Nuffield Department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Medicine, University of Oxford, Oxford, UK.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951433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Predictive biomarkers for symptomatic tuberculosis (TB) progression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would transform targeted prevention efforts. Although interferon-gamma release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assays (IGRAs), including QuantiFERON® TB-Gold Plus (QFT-Plus), have been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studied for this purpose, systematic evaluation of the QFT-Plus TB1 and TB2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Interferon-Gamma (IFNγ) concentrations remains limited, particularly 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high-burden TB settings.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951433">
        <w:rPr>
          <w:rFonts w:ascii="宋体" w:eastAsia="宋体" w:hAnsi="宋体" w:cs="宋体"/>
          <w:b/>
          <w:color w:val="000000" w:themeColor="text1"/>
          <w:szCs w:val="24"/>
        </w:rPr>
        <w:t>METHODS: B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aseline TB1 and TB2 IFNγ concentrations from 5246 participants (ages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15-34 years) in TB-endemic regions were analyzed in relation to subsequent TB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outcomes over a median of 525 days follow-up (NCT05190146). Participants were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categorized as controls (no TB), suspected TB (no microbiological confirmation),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or laboratory-confirmed TB, including a subset meeting a stringent case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definition (≥2 positive microbiologic tests). Associations between baseline IFNγ</w:t>
      </w:r>
      <w:r w:rsidR="00951433">
        <w:rPr>
          <w:rFonts w:ascii="宋体" w:eastAsia="宋体" w:hAnsi="宋体" w:cs="宋体" w:hint="eastAsia"/>
          <w:color w:val="000000" w:themeColor="text1"/>
          <w:szCs w:val="24"/>
        </w:rPr>
        <w:t xml:space="preserve"> </w:t>
      </w:r>
      <w:r w:rsidRPr="00330A46">
        <w:rPr>
          <w:rFonts w:ascii="宋体" w:eastAsia="宋体" w:hAnsi="宋体" w:cs="宋体"/>
          <w:color w:val="000000" w:themeColor="text1"/>
          <w:szCs w:val="24"/>
        </w:rPr>
        <w:t>concentrations and progression to symptomatic TB were assessed.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951433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In the full cohort (IGRA+/- participants), baseline TB2 IFNγ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concentrations were significantly higher compared with controls among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participants who developed suspected TB (P = .01), laboratory-confirmed TB (P =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.01), or met the stringent case definition (P &lt; .0001). In IGRA+ participants,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baseline TB2 concentrations were significantly higher than controls in suspected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(P = .01) and laboratory-confirmed (P = .02) groups. Associations with baseline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TB1 IFNγ concentrations and TB progression were observed for participants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meeting the stringent case definition within the full cohort (P = .001). Among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stringent definition cases, TB2 concentrations achieved an area under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receiver operating characteristic curve of 0.84, with sensitivity of 80%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specificity of 78%.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951433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Quantitative IFNγ concentrations from QFT-Plus, particularly TB2,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were associated with progression to symptomatic TB, met or exceeded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WHO-recommended sensitivity and specificity thresholds for predictive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biomarkers, and may support biomarker-based stratification in TB clinical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research.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Infectious Diseases Society of America.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10.1093/ofid/ofag437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PMC13397382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42500121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951433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330A46" w:rsidRPr="00951433">
        <w:rPr>
          <w:rFonts w:ascii="宋体" w:eastAsia="宋体" w:hAnsi="宋体" w:cs="宋体"/>
          <w:b/>
          <w:color w:val="FF0000"/>
          <w:szCs w:val="24"/>
        </w:rPr>
        <w:t xml:space="preserve">. Bioorg Chem. 2026 Jul 21;181:110263. doi: 10.1016/j.bioorg.2026.110263. Online </w:t>
      </w:r>
    </w:p>
    <w:p w:rsidR="00330A46" w:rsidRPr="00951433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951433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Oxadiazole and hydrazone derivatives of benzimidazothiazine as potential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antifungal and anti-tubercular agents.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Pandikatte N(1), Sudhakar S(2), Vilas Gowda KB(3), Ramu R(3), Kamble RR(4),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Singh CK(5), Deb PK(5), Venugopala KN(6), Dasappa JP(7).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(1)Department of PG Studies and Research in Chemistry, Sri Dharmasthala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Manjunatheshwara College (Autonomous), Ujire 574240, India; Department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Studies in Chemistry, Mangalore University, Mangalagangothri, 574199, India.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(2)Department of PG Studies and Research in Chemistry, Sri Dharmasthala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Manjunatheshwara College (Autonomous), Ujire 574240, India.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(3)Department of Biotechnology and Bioinformatics, School of Life Sciences, JSS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Academy of Higher Education &amp; Research, Mysuru 570015, India.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(4)Department of Studies in Chemistry, Karnataka University, Dharwad 580003,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(5)Department of Pharmaceutical Sciences and Technology, Birla Institute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Technology (BIT), Mesra, Ranchi, Jharkhand 835215, India.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(6)Department of Pharmaceutical Sciences, College of Clinical Pharmacy, King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Faisal University, Al-Ahsa, 31982, Saudi Arabia; Department of Biotechnology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Food Science, Faculty of Applied Sciences, Durban University of Technology,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Durban 4001, South Africa. Electronic address: kvenugopala@kfu.edu.sa.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(7)Department of Studies in Chemistry, Mangalore University, Mangalagangothri,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574199, India. Electronic address: jpdchem2020@gmail.com.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current study focuses on the synthesis and pharmacological evaluation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novel oxadiazole and hydrazone derivatives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4-oxo-4H-benzo[4,5]imidazo[2,1-b][1,3]thiazine-2-carbohydrazides (5a-f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6a-f). The compounds were synthesised via a conventional reflux method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characterized using FT-IR, NMR (1H and 13C), and LC-MS techniques. Antifungal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activity of all compounds was evaluated against Candida albicans using the broth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microdilution method, and compounds 6b and 6 f showed greater inhibitory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potential than the reference drug, Fluconazole. Biofilm inhibition assay,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supported by SEM analysis, showed notable inhibitory effects, particularly for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compounds 6b and 6 f, and strong suppression of hyphal development, as analyzed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 the filament inhibition assay. In addition, biofilm gene expression was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assessed by RT-PCR for the target compounds, demonstrating greater inhibitory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effects on gene expression for 6b and 6 f than for Fluconazole. Furthermore, 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silico studies identified compounds 6b and 6 f as potential lead candidates due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to their multi-target interactions with Candida albicans virulence-associated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proteins. The anti-tubercular activity was evaluated on Mycobacterium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 (H37Rv strain, ATCC No. 27294), in which the compound 5a from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oxadiazole series exhibited good anti-tubercular activity, and in the hydrazone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series, the compound 6b exhibited excellent anti-tubercular activity.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Copyright © 2026. Published by Elsevier Inc.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10.1016/j.bioorg.2026.110263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42497767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951433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</w:t>
      </w:r>
      <w:r w:rsidR="00330A46" w:rsidRPr="00951433">
        <w:rPr>
          <w:rFonts w:ascii="宋体" w:eastAsia="宋体" w:hAnsi="宋体" w:cs="宋体"/>
          <w:b/>
          <w:color w:val="FF0000"/>
          <w:szCs w:val="24"/>
        </w:rPr>
        <w:t xml:space="preserve">. Health Policy Plan. 2026 Jul 24:czag095. doi: 10.1093/heapol/czag095. Online </w:t>
      </w:r>
    </w:p>
    <w:p w:rsidR="00330A46" w:rsidRPr="00951433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951433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Catastrophic Costs and Impoverishment Among Tuberculosis-Affected Households 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Nepal: Results from a National Patient Cost Survey.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Shrestha P(1), Shah NP(1), Sharma SK(1), Joshi LR(2), Shrestha AL(2), Ghimire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P(1), Sharma B(1), Basnet R(2), Bhattarai RB(2), Neupane S(3), Gautam R(4),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Shahi PV(4), Thapa B(4), Bennani K(4), Rawal BB(1), Deuba K(5)(6)(7)(8).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(1)National Tuberculosis Control Center, Ministry of Health and Food Safety,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Thimi, Bhaktapur, Nepal.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(2)Save the Children, Kathmandu, Nepal.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(3)Public Health Professional, Kathmandu, Nepal.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(4)World Health Organization (WHO), Kathmandu, Nepal.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(5)Public Health and Environment Research Center (PERC), Lalitpur, Nepal.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(6)Department of Global Public Health, Karolinska Institutet, Stockholm, Sweden.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(7)Global Health Epidemiology Group, Centre for International Health (CIH),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Department of Global Public Health and Primary Care, University of Bergen,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>Bergen  Norway.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(8)Bergen Centre for Ethics and Priority Setting in Health (BCEPS), Department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of Global Public Health and Primary Care, University of Bergen, Bergen, Norway.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 (TB) poses a significant economic burden on affected households.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Despite the provision of free diagnosis and treatment services, patients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their households experience substantial financial hardship. This study aimed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estimate the catastrophic costs faced by TB patients in Nepal and identify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associated factors. We conducted the first national cross-sectional survey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1000 patients enrolled within the National Tuberculosis Program (NTP).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sample consisted of 600 drug-susceptible (DS-TB) and 400 drug-resistant TB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(DR-TB) patients. Data were collected through structured interviews using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standardized TB patient cost survey questionnaire. Costs were categorized as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direct medical, direct non-medical, and indirect. Indirect costs were estimated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using the human capital approach. Catastrophic total costs due to TB was defined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as total TB-related costs exceeding 20% of annual pre-TB household income.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mean age of participants was 43 years, and 65% were male. Forty-two percent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participants engaged in informal paid work and 70% had not completed secondary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education. One-third of the participants reported having some form of social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protection, with just 11% possessing health insurance coverage. Overall, 51%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TB-affected households faced catastrophic costs due to TB, with a higher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proportion among DR-TB patients (76%) compared to DS-TB patients (51%).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financial burden was primarily driven by direct non-medical costs (44%)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indirect costs (39%), substantially exceeding direct medical costs (17%).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Factors associated with catastrophic total costs included belonging to a poorer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wealth quintile, a DR-TB diagnosis, being the primary income earner, and lacking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health insurance coverage. TB-related costs pushed 13% of households below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poverty line, increasing to 31% among DR-TB households. Mitigating this burden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requires an integrated approach that aligns early diagnostic interventions with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comprehensive social protection. Specifically, combining direct cash transfers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for wage replacement with in-kind nutritional support is critical to protect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high-risk households and reduce non-medical financial shocks.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in association with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The London School of Hygiene and Tropical Medicine.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10.1093/heapol/czag095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42497305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AC3036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</w:t>
      </w:r>
      <w:r w:rsidR="00330A46" w:rsidRPr="00AC3036">
        <w:rPr>
          <w:rFonts w:ascii="宋体" w:eastAsia="宋体" w:hAnsi="宋体" w:cs="宋体"/>
          <w:b/>
          <w:color w:val="FF0000"/>
          <w:szCs w:val="24"/>
        </w:rPr>
        <w:t xml:space="preserve">. ACS Omega. 2026 Jul 3;11(28):41689-41702. doi: 10.1021/acsomega.6c01348. </w:t>
      </w:r>
    </w:p>
    <w:p w:rsidR="00330A46" w:rsidRPr="00AC3036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AC3036">
        <w:rPr>
          <w:rFonts w:ascii="宋体" w:eastAsia="宋体" w:hAnsi="宋体" w:cs="宋体"/>
          <w:b/>
          <w:color w:val="FF0000"/>
          <w:szCs w:val="24"/>
        </w:rPr>
        <w:t>eCollection 2026 Jul 21.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Fucoidan-Functionalized Nanoparticles for Antimycobacterial Therapy: A Promising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Approach against Drug-Resistant Mycobacterium tuberculosis Strains.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Correia de Sousa LÂ(1)(2), Teixeira JAC(3), Porto ALF(4), Rodrigues da Silva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J(1), Lira Nogueira MCB(5)(2), Formiga FR(1), Brelaz de Castro MCA(1)(5), Silva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YJA(6), Araujo RM(1), Rodrigues DMDS(1), de Lucena Laet JP(7), de Oliveira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Magalhães JL(7), Pedroza Rodrigues GG(1), Montenegro LML(1).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(1)Department of Immunology, Aggeu Magalhães Institute, Oswaldo Cruz Foundation,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50740-600 Recife, Pernambuco, Brasil.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(2)Laboratory of Imunophathology Keizo-Asami, Federal University of Pernambuco,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50670-901 Recife, Pernambuco, Brasil.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(3)Department of Biological Engineering, University of Minho, 4710-057 Braga,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Portugal.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(4)Department of Animal Morphology and Physiology, Federal Rural University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Pernambuco, 52171-900 Recife, Pernambuco, Brasil.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(5)Academic Center of Vitória, Federal University of Pernambuco, 55608-680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Vitória de Santo Antão, Pernambuco, Brasil.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(6)Center for the Social Sciences of Nature, Federal University of Pernambuco,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50740-560 Recife, Pernambuco, Brasil.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(7)Biosafety Level 3 Laboratory, Aggeu Magalhães Institute, Oswaldo Cruz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Foundation, 50740-600 Recife, Pernambuco, Brasil.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 remains one of the leading causes of death from infectious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diseases. Poly-(isobutyl cyanoacrylate) (PIBCA) polymeric nanoparticles coated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with fucoidan were developed as a targeted drug delivery system for rifampicin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(RIF) against Mycobacterium tuberculosis (Mtb), including multidrug-resistant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strains. The nanoparticles were prepared by anionic emulsion polymerization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characterized for size, surface charge, morphology, stability, and encapsulation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efficiency. The formulation exhibited a mean diameter of 400-480 nm, a negative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zeta potential (-47.9 ± 1.27 mV), spherical morphology, and colloidal stability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for over 30 days, with encapsulation efficiency between 40-50%. In vitro assays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demonstrated antimycobacterial activity, with MIC values of 0.412 μg/mL for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drug-sensitive strains and 1.238 μg/mL for drug-resistant strains. Synergistic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interactions were observed when combined with standard anti-tuberculosis drugs.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nanoparticles showed low cytotoxicity (80-96% cell viability)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concentration- and time-dependent intracellular bactericidal activity 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infected macrophages. Cellular uptake studies confirmed efficient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internalization, consistent with fucoidan-mediated targeting of macrophage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scavenger receptors. These findings highlight fucoidan-coated PIBCA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nanoparticles as a promising nanotechnological strategy to enhance rifampicin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delivery and efficacy against tuberculosis, particularly in drug-resistant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infections.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2026 The Authors. Published by American Chemical Society.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10.1021/acsomega.6c01348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PMC13392885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42495280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AC3036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</w:t>
      </w:r>
      <w:r w:rsidR="00330A46" w:rsidRPr="00AC3036">
        <w:rPr>
          <w:rFonts w:ascii="宋体" w:eastAsia="宋体" w:hAnsi="宋体" w:cs="宋体"/>
          <w:b/>
          <w:color w:val="FF0000"/>
          <w:szCs w:val="24"/>
        </w:rPr>
        <w:t xml:space="preserve">. Public Health Chall. 2026 Jul 23;5(3):e70319. doi: 10.1002/puh2.70319. </w:t>
      </w:r>
    </w:p>
    <w:p w:rsidR="00330A46" w:rsidRPr="00AC3036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AC3036">
        <w:rPr>
          <w:rFonts w:ascii="宋体" w:eastAsia="宋体" w:hAnsi="宋体" w:cs="宋体"/>
          <w:b/>
          <w:color w:val="FF0000"/>
          <w:szCs w:val="24"/>
        </w:rPr>
        <w:t>eCollection 2026 Sep.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 Care Access Among Internally Displaced Persons in India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Nigeria: A Review of Structural Barriers and Context-Specific Interventions.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Okojie PW(1), Graf L(1).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(1)Liberty University Lynchburg Virginia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This review examined the structural barriers limiting access to tuberculosis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(TB) care in internally displaced persons and context-specific strategies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address the public health threat. Low- and middle-income countries contribute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more than 95% of the global burden of tuberculosis, with Nigeria and India being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highest TB-burdened countries in Africa and Asia, respectively. Despite this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burden, internally displaced persons remain underrepresented in TB research.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Both countries share similarities in demographic, economic, and sociopolitical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backgrounds that raise the risk of TB spread among vulnerable populations,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including IDPs. Communal conflict, disasters, and insecurity promote internal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population displacement, but India's share of global IDPs is mainly due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climate events and natural disasters. In both countries, sociocultural,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economic, and healthcare governance concerns remain significant barriers to TB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care access among IDPs. Although the health of all people is a fundamental human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rights issue, selective recognition of those rights to the detriment of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marginalized group perpetuates health inequities. Unlike Nigeria, India lacks an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actionable framework for protecting the health of internally displaced persons.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review identified that TB control and access to TB care efforts require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intersectoral collaboration to help fast-track movement toward TB elimination.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It further underscores the relevance of primary healthcare infrastructure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tailored to local contexts. It concludes by recommending prioritizing policy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reforms that promote equity in TB care, with an expansion of TB interventions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address the threat among internally displaced persons.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2026 The Author(s). Public Health Challenges published by John Wiley &amp; Sons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Ltd.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10.1002/puh2.70319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PMC13394371</w:t>
      </w:r>
    </w:p>
    <w:p w:rsidR="00330A46" w:rsidRPr="00330A46" w:rsidRDefault="00AC3036" w:rsidP="00330A46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lastRenderedPageBreak/>
        <w:t>PMID: 42494989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AC3036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AC3036">
        <w:rPr>
          <w:rFonts w:ascii="宋体" w:eastAsia="宋体" w:hAnsi="宋体" w:cs="宋体"/>
          <w:b/>
          <w:color w:val="FF0000"/>
          <w:szCs w:val="24"/>
        </w:rPr>
        <w:t>1</w:t>
      </w:r>
      <w:r w:rsidR="006F6C83">
        <w:rPr>
          <w:rFonts w:ascii="宋体" w:eastAsia="宋体" w:hAnsi="宋体" w:cs="宋体"/>
          <w:b/>
          <w:color w:val="FF0000"/>
          <w:szCs w:val="24"/>
        </w:rPr>
        <w:t>0</w:t>
      </w:r>
      <w:r w:rsidRPr="00AC3036">
        <w:rPr>
          <w:rFonts w:ascii="宋体" w:eastAsia="宋体" w:hAnsi="宋体" w:cs="宋体"/>
          <w:b/>
          <w:color w:val="FF0000"/>
          <w:szCs w:val="24"/>
        </w:rPr>
        <w:t>. Case Rep Gastrointest Med. 2026 Jul 23;2026:74993</w:t>
      </w:r>
      <w:r w:rsidR="00AC3036">
        <w:rPr>
          <w:rFonts w:ascii="宋体" w:eastAsia="宋体" w:hAnsi="宋体" w:cs="宋体"/>
          <w:b/>
          <w:color w:val="FF0000"/>
          <w:szCs w:val="24"/>
        </w:rPr>
        <w:t xml:space="preserve">95. doi: 10.1155/crgm/7499395. </w:t>
      </w:r>
      <w:r w:rsidRPr="00AC3036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Hiding in Plain Sight: A Case of Intestinal Tuberculosis Masquerading as Benign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Lower GI Bleeding.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Otom L(1), Panwar P(1), Odong G(2), Kassim F(3), Okiro P(3), Opio C(1),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Abdulkarim S(1).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(1)Department of Internal Medicine, Aga Khan University Hospital Nairobi,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Nairobi, Kenya.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(2)Department of Radiology, Aga Khan University Hospital Nairobi, Nairobi,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Kenya.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(3)Department of Pathology, Aga Khan University Hospital Nairobi, Nairobi,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Kenya.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AC3036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Intestinal tuberculosis (TB) represents the most common form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abdominal TB, often affecting the ileocaecal region. Lower gastrointestinal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bleeding is an uncommon presentation and may create significant diagnostic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uncertainty, particularly in immunocompromised patients and in settings where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inflammatory bowel disease is also encountered.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AC3036">
        <w:rPr>
          <w:rFonts w:ascii="宋体" w:eastAsia="宋体" w:hAnsi="宋体" w:cs="宋体"/>
          <w:b/>
          <w:color w:val="000000" w:themeColor="text1"/>
          <w:szCs w:val="24"/>
        </w:rPr>
        <w:t>CASE PRESENTATION: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A woman in her sixties from Africa presented with recurrent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diarrhoea and intermittent haematochezia over a 6-month period. Initial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endoscopic evaluation was nondiagnostic. Cross-sectional imaging later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demonstrated multifocal bowel involvement affecting both the small and large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bowel, including ileocaecal and rectoanal disease, with associated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abdominopelvic lymphadenopathy. Histopathology from repeat colonoscopy biopsy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showed caseating granulomas and Ziehl-Neelsen-positive acid-fast bacilli,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confirming intestinal TB. Subsequent HIV serology was positive, with a CD4 count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of 55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cells/mm3 at diagnosis. The patient improved markedly following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antituberculous therapy and subsequent antiretroviral treatment.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AC3036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This case highlights a diffuse presentation of intestinal TB without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pulmonary involvement in a patient with newly diagnosed advanced HIV infection.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It underscores the diagnostic challenge posed by overlap with more common causes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of lower gastrointestinal bleeding and inflammatory bowel disease and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importance of integrating clinical, radiological, endoscopic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histopathological findings to achieve timely diagnosis and successful medical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management.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Copyright © 2026 Lavender Otom et al. Case Reports in Gastrointestinal Medicine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published by John Wiley &amp; Sons Ltd.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10.1155/crgm/7499395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PMC13393290</w:t>
      </w:r>
    </w:p>
    <w:p w:rsidR="00330A46" w:rsidRPr="00330A46" w:rsidRDefault="00AC3036" w:rsidP="00330A46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42494472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AC3036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AC3036">
        <w:rPr>
          <w:rFonts w:ascii="宋体" w:eastAsia="宋体" w:hAnsi="宋体" w:cs="宋体"/>
          <w:b/>
          <w:color w:val="FF0000"/>
          <w:szCs w:val="24"/>
        </w:rPr>
        <w:t>1</w:t>
      </w:r>
      <w:r w:rsidR="006F6C83">
        <w:rPr>
          <w:rFonts w:ascii="宋体" w:eastAsia="宋体" w:hAnsi="宋体" w:cs="宋体"/>
          <w:b/>
          <w:color w:val="FF0000"/>
          <w:szCs w:val="24"/>
        </w:rPr>
        <w:t>1</w:t>
      </w:r>
      <w:r w:rsidRPr="00AC3036">
        <w:rPr>
          <w:rFonts w:ascii="宋体" w:eastAsia="宋体" w:hAnsi="宋体" w:cs="宋体"/>
          <w:b/>
          <w:color w:val="FF0000"/>
          <w:szCs w:val="24"/>
        </w:rPr>
        <w:t>. BMC Glob Public Health. 2026 Jul 23;4(1):68. doi: 10.1186/s44263-026-00302-w.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Drivers of sex differences in Mycobacterium tuberculosis immunoreactivity among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adolescents and adults in Blantyre, Malawi.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Phiri MD(1)(2)(3)(4), Rickman HM(5)(6), Mbale H(5), Feasey HR(7), Nliwasa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M(8)(9), Schwalb A(10)(11)(12), Mwenyenkulu TE(13), Mbendera KN(13), Mwandumba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HC(5)(14)(15), Corbett EL(6), Squire SB(14)(15), Henrion MY(5)(14)(15), Horton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KC(10)(11), MacPherson P(16).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(1)Malawi Liverpool Wellcome Research Programme, Blantyre, Malawi.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mdphiri@mlw.mw.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(2)Department of Clinical Sciences, Liverpool School of Tropical Medicine,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Liverpool, UK. mdphiri@mlw.mw.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(3)Centre for TB Research, Liverpool School of Tropical Medicine, Liverpool, UK.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mdphiri@mlw.mw.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(4)School of Medicine and Oral Health, Kamuzu University of Health Sciences,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Blantyre, Malawi. mdphiri@mlw.mw.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(5)Malawi Liverpool Wellcome Research Programme, Blantyre, Malawi.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(6)Clinical Research Department, London School of Hygiene &amp; Tropical Medicine,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London, UK.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(7)School of Medicine, University of St Andrews, St Andrews, Scotland.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(8)Helse Nord Clinical Research and Training Initiative, Kamuzu University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Health Sciences, Blantyre, Malawi.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(9)Division of Epidemiology and Biostatistics, School of Public Health, Faculty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of Health Sciences, University of the Witwatersrand, Johannesburg, South Africa.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(10)TB Modelling Group, TB Centre, London School of Hygiene &amp; Tropical Medicine,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London, UK.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(11)Department of Infectious Disease Epidemiology, London School of Hygiene &amp;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Tropical Medicine, London, UK.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(12)Instituto de Medicina Tropical Alexander von Humboldt, Universidad Peruana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Cayetano Heredia, Lima, Peru.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(13)National Tuberculosis and Leprosy Elimination Program, Ministry of Health,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Lilongwe, Malawi.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(14)Department of Clinical Sciences, Liverpool School of Tropical Medicine,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Liverpool, UK.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(15)Centre for TB Research, Liverpool School of Tropical Medicine, Liverpool,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>UK.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(16)School of Health and Wellbeing, University of Glasgow, Glasgow, Scotland.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AC3036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Sex differences in Mycobacterium tuberculosis (Mtb) exposure likely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contribute to sex differences in tuberculosis (TB) burden. However,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population-level age- and sex-specific patterns of Mtb exposure among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adolescents and adults have not been recently characterised in Malawi. We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therefore conducted a cross-sectional survey to estimate age- and sex-specific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Mtb immunoreactivity prevalence in Blantyre City, Malawi, and to assess whether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prevalence diverges by sex with increasing age.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AC3036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We used an open-access dataset of building footprints, known as Open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Buildings, to obtain a random sample of households from 33 peri-urban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neighbourhoods in Blantyre City. Adolescents and adults aged 10-40 years were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recruited, participant characteristics recorded, and venous blood samples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collected to determine Mtb immunoreactivity using the QuantiFERON-TB Gold Plus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(QFT-Plus) assay. We fitted Bayesian multilevel logistic regression models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estimate the association between age, sex, and other risk factors with Mtb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immunoreactivity, and compared predicted immunoreactivity prevalence across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age-sex strata.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AC3036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Of 2833 participants, 40.0% (1133/2833) were male, the median age was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21 years (interquartile range: 16-28 years), and 8.7% (179/2047) self-reported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living with HIV. Overall, 17.8% (503/2833) of participants were Mtb positive,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Mtb immunoreactivity prevalence was 17.8% (95% credible interval [CrI]: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16.4-19.2%), corresponding to an annual risk of TB infection of 0.88% (95% CrI: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0.80%-0.95%). Prevalence was similar by sex among 10-19- and 30-40-year-olds.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However, among 20-29-year-olds, prevalence was higher among males compared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females: 26.3% (95% CrI: 22.0%-30.8%) and 17.7% (95% CrI: 14.8%-20.8%),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respectively. The annual risk of Mtb immunoreactivity conversion increased, 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average, at a faster rate among males compared to females from age 10 years,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peaking at 21 years, where it was 1.58 (95% CrI: 0.82-2.80) times higher among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males compared to females. Tobacco smoking and alcohol drinking, more prevalent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among males compared to females, were associated with increased immunoreactivity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probability.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AC3036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Adolescence appears to be a period of vulnerability for Mtb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exposure, during which sex-specific vulnerabilities begin to emerge. Identifying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biological and social drivers of these vulnerabilities could inform targeted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strategies to reduce sex disparities in TB.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10.1186/s44263-026-00302-w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PMC13393826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42493803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AC3036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AC3036">
        <w:rPr>
          <w:rFonts w:ascii="宋体" w:eastAsia="宋体" w:hAnsi="宋体" w:cs="宋体"/>
          <w:b/>
          <w:color w:val="FF0000"/>
          <w:szCs w:val="24"/>
        </w:rPr>
        <w:lastRenderedPageBreak/>
        <w:t>1</w:t>
      </w:r>
      <w:r w:rsidR="006F6C83">
        <w:rPr>
          <w:rFonts w:ascii="宋体" w:eastAsia="宋体" w:hAnsi="宋体" w:cs="宋体"/>
          <w:b/>
          <w:color w:val="FF0000"/>
          <w:szCs w:val="24"/>
        </w:rPr>
        <w:t>2</w:t>
      </w:r>
      <w:r w:rsidRPr="00AC3036">
        <w:rPr>
          <w:rFonts w:ascii="宋体" w:eastAsia="宋体" w:hAnsi="宋体" w:cs="宋体"/>
          <w:b/>
          <w:color w:val="FF0000"/>
          <w:szCs w:val="24"/>
        </w:rPr>
        <w:t xml:space="preserve">. Nat Immunol. 2026 Jul 23. doi: 10.1038/s41590-026-02600-9. Online ahead of </w:t>
      </w:r>
    </w:p>
    <w:p w:rsidR="00330A46" w:rsidRPr="00AC3036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AC3036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Industrial-scale mRNA expertise meets a century of tuberculosis immunology.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Alter G(1).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(1)Infectious Disease, AstraZeneca, Gaithersburg, MD, USA.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galit.alter@astrazeneca.com.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10.1038/s41590-026-02600-9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42493611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AC3036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AC3036">
        <w:rPr>
          <w:rFonts w:ascii="宋体" w:eastAsia="宋体" w:hAnsi="宋体" w:cs="宋体"/>
          <w:b/>
          <w:color w:val="FF0000"/>
          <w:szCs w:val="24"/>
        </w:rPr>
        <w:t>1</w:t>
      </w:r>
      <w:r w:rsidR="006F6C83">
        <w:rPr>
          <w:rFonts w:ascii="宋体" w:eastAsia="宋体" w:hAnsi="宋体" w:cs="宋体"/>
          <w:b/>
          <w:color w:val="FF0000"/>
          <w:szCs w:val="24"/>
        </w:rPr>
        <w:t>3</w:t>
      </w:r>
      <w:r w:rsidRPr="00AC3036">
        <w:rPr>
          <w:rFonts w:ascii="宋体" w:eastAsia="宋体" w:hAnsi="宋体" w:cs="宋体"/>
          <w:b/>
          <w:color w:val="FF0000"/>
          <w:szCs w:val="24"/>
        </w:rPr>
        <w:t xml:space="preserve">. Eur Respir J. 2026 Jul 23:2600858. doi: 10.1183/13993003.00858-2026. Online </w:t>
      </w:r>
    </w:p>
    <w:p w:rsidR="00330A46" w:rsidRPr="00AC3036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AC3036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330A46" w:rsidRPr="00AC3036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Persistent respiratory, psychological, and quality-of-life impairments two-years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post-tuberculosis: evidence from a cohort study in Cambodia.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Eng S(1), Prem K(2)(3), Tuot S(4)(5), Pall C(4), Tep S(4), Hoddinott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G(6)(7)(8)(9), Ichikawa M(10), Yi S(2)(4)(11), Teo AKJ(2)(9)(12).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(1)Department of Global Public Health, Graduate School of Comprehensive Human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Sciences, University of Tsukuba, Ibaraki, Japan sothearith_eng@outlook.com.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(2)Saw Swee Hock School of Public Health, National University of Singapore,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Singapore, Singapore.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(3)Department of Infectious Disease Epidemiology &amp; Dynamics, The London School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of Hygiene &amp; Tropical Medicine, London, United Kingdom of Great Britain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Northern Ireland.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(4)KHANA Center for Population Health Research, KHANA, Phnom Penh, Cambodia.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(5)Department of Community and Global Health, The University of Tokyo, Tokyo,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Japan.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(6)School of Public Health, Faculty of Medicine and Health, The University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Sydney, Sydney, Australia.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(7)Desmond Tutu TB Centre, Department of Paediatrics and Child Health, Faculty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of Medicine and Health Sciences, Stellenbosch University, Cape Town, South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(8)Department of Human, Biological &amp; Translational Medical Science, School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Medicine, University of Namibia, Windhoek, Namibia.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(9)The University of Sydney Infectious Diseases Institute (Sydney ID), Sydney,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Australia.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(10)Department of Global Public Health, Institute of Medicine, University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>Tsukuba, Ibaraki, Japan.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(11)Public Health Program, College of Education and Health Sciences, Touro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University California, Vallejo, United States of America.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(12)Faculty of Medicine and Health, University of Sydney, Sydney, Australia.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10.1183/13993003.00858-2026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42492955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AC3036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AC3036">
        <w:rPr>
          <w:rFonts w:ascii="宋体" w:eastAsia="宋体" w:hAnsi="宋体" w:cs="宋体"/>
          <w:b/>
          <w:color w:val="FF0000"/>
          <w:szCs w:val="24"/>
        </w:rPr>
        <w:t>1</w:t>
      </w:r>
      <w:r w:rsidR="006F6C83">
        <w:rPr>
          <w:rFonts w:ascii="宋体" w:eastAsia="宋体" w:hAnsi="宋体" w:cs="宋体"/>
          <w:b/>
          <w:color w:val="FF0000"/>
          <w:szCs w:val="24"/>
        </w:rPr>
        <w:t>4</w:t>
      </w:r>
      <w:r w:rsidRPr="00AC3036">
        <w:rPr>
          <w:rFonts w:ascii="宋体" w:eastAsia="宋体" w:hAnsi="宋体" w:cs="宋体"/>
          <w:b/>
          <w:color w:val="FF0000"/>
          <w:szCs w:val="24"/>
        </w:rPr>
        <w:t>. Bioorg Chem. 2026 Jul 20;181:110256. doi: 10.101</w:t>
      </w:r>
      <w:r w:rsidR="00AC3036">
        <w:rPr>
          <w:rFonts w:ascii="宋体" w:eastAsia="宋体" w:hAnsi="宋体" w:cs="宋体"/>
          <w:b/>
          <w:color w:val="FF0000"/>
          <w:szCs w:val="24"/>
        </w:rPr>
        <w:t xml:space="preserve">6/j.bioorg.2026.110256. Online </w:t>
      </w:r>
      <w:r w:rsidRPr="00AC3036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Design and discovery of 1,4-dihydropyrimidinone-based noncovalent DprE1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inhibitors with integrated biological and computational validation against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Mycobacterium tuberculosis.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Fayek FH(1), Mousa MHA(1), Said MF(2), Georgey HH(3), Abdel Gawad NM(4).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(1)Department of Pharmaceutical Chemistry, Faculty of Pharmacy and Drug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Technology, Egyptian Chinese University, Gesr El Suez Street, Cairo 11786,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Egypt.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(2)Department of Pharmaceutical Chemistry, Faculty of Pharmacy, Cairo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University, Kasr El-Aini Street, Cairo 11562, Egypt. Electronic address: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mona.abdelnoor@pharma.cu.edu.eg.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(3)Department of Pharmaceutical Chemistry, Faculty of Pharmacy and Drug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Technology, Egyptian Chinese University, Gesr El Suez Street, Cairo 11786,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Egypt; Department of Pharmaceutical Chemistry, Faculty of Pharmacy, Cairo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University, Kasr El-Aini Street, Cairo 11562, Egypt.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(4)Department of Pharmaceutical Chemistry, Faculty of Pharmacy, Cairo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University, Kasr El-Aini Street, Cairo 11562, Egypt.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Decaprenylphosphoryl-β-d-ribose 2'-epimerase (DprE1) is a key flavoenzyme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required for mycobacterial cell wall biosynthesis and represents an important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molecular target for antitubercular drug discovery. In this study, a novel set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of 1,4-dihydropyrimidinone derivatives was rationally designed and synthesized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as potential DprE1 inhibitors. The target compounds (3a-3d and 4a-4 k) were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prepared through a concise multistep synthetic route involving O-alkylation,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Biginelli-type cyclocondensation, and S-alkylation, and were fully characterized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by spectroscopic and analytical methods. Several derivatives exhibited promising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 vitro antimycobacterial activity against Mycobacterium tuberculosis in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low-micromolar range. Enzymatic assays indicated DprE1 inhibitory activity, with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compounds 3a-3d displaying IC50 values of 11.74-13.90 μM; compound 3d showed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activity comparable to the reference inhibitor TCA-1. In addition, cytotoxicity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evaluation against WI-38 human lung fibroblast cells suggested low cytotoxicity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and favorable selectivity indices relative to whole-cell antimycobacterial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activity, providing preliminary support for the safety profile of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synthesized compounds. Molecular docking, 100 ns molecular dynamics simulations,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and MM-PBSA analysis provided supportive evidence for favorable accommodation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within the catalytic site and favorable binding energetics. These findings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suggest that the 1,4-dihydropyrimidinone scaffold represents a promising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noncovalent framework for further structural optimization toward the development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of novel DprE1-targeted antitubercular agents.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Copyright © 2026 Elsevier Inc. All rights reserved.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10.1016/j.bioorg.2026.110256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42492138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AC3036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15</w:t>
      </w:r>
      <w:r w:rsidR="00330A46" w:rsidRPr="00AC3036">
        <w:rPr>
          <w:rFonts w:ascii="宋体" w:eastAsia="宋体" w:hAnsi="宋体" w:cs="宋体"/>
          <w:b/>
          <w:color w:val="FF0000"/>
          <w:szCs w:val="24"/>
        </w:rPr>
        <w:t xml:space="preserve">. PLOS Glob Public Health. 2026 Jul 23;6(7):e0005872. doi: </w:t>
      </w:r>
    </w:p>
    <w:p w:rsidR="00330A46" w:rsidRPr="00AC3036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AC3036">
        <w:rPr>
          <w:rFonts w:ascii="宋体" w:eastAsia="宋体" w:hAnsi="宋体" w:cs="宋体"/>
          <w:b/>
          <w:color w:val="FF0000"/>
          <w:szCs w:val="24"/>
        </w:rPr>
        <w:t>10.1371/journal.pgph.0005872. eCollection 2026.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Cost-effectiveness of BPaL-based and 9-month modified all-oral short treatment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regimens for rifampicin-resistant tuberculosis in Belarus.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Yatskevich N(1).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(1)Republican Scientific and Practical Center for Pulmonology and Tuberculosis,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Minsk, Belarus.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Belarus remains a high-burden country for multidrug-/rifampicin-resistant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 (MDR/RR-TB), including pre-extensively drug-resistant TB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(pre-XDR-TB). BPaL-based and modified 9-month short treatment regimens (mSTR),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implemented under operational research conditions, have demonstrated improved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clinical outcomes, but evidence on their cost-effectiveness in real-world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settings remains limited. We evaluated the cost-effectiveness of BPaL-based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regimens containing bedaquiline, pretomanid, and linezolid with either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moxifloxacin or clofazimine (BPaL(M/C)); mSTR composed of bedaquiline,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levofloxacin, linezolid, clofazimine, cycloserine, or delamanid; and standard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care (SOC;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18-month regimens) for MDR/RR-TB and pre-XDR-TB in Belarus over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20-year horizon using a cohort-based Markov model. Clinical effectiveness,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safety, and cost inputs were derived from operational research and WHO data.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Health outcomes were measured in quality-adjusted life-years (QALYs), costs were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expressed in 2022 USD, and both were discounted at 3% annually. Incremental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costs, QALYs, and incremental net monetary benefits (INMB) were estimated.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Univariate, probabilistic, and conservative scenario analyses were conducted.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scale-up analysis assessed national budgetary implications. Probabilistic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sensitivity analysis showed that both shorter regimens were cost-effective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compared with SOC at the Belarus-specific willingness-to-pay threshold, with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mean [IQR] INMB of USD 27,586 [16,248; 37,645] for BPaL(M/C) and USD 23,488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[10,887; 35,092] for mSTR versus SOC. In the base case, BPaL(M/C) was the most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cost-effective strategy, with lower mean costs (USD 8,155) and higher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effectiveness (10.82 QALYs) than SOC (USD 20,757; 8.91 QALYs). mSTR was also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cost-effective compared with SOC but less effective than BPaL(M/C). Results were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robust across sensitivity and scenario analyses. Under conservative assumptions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of identical clinical outcomes, shorter regimens remained cost-saving.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scale-up analysis showed that expanding use of shorter regimens in Belarus could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generate annual TB programme budget savings exceeding USD 9.8 million. BPaL(M/C)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and mSTR are cost-effective alternatives to SOC in Belarus, offering substantial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economic benefits at both patient and programmatic levels.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Copyright: © 2026 Natalia Yatskevich. This is an open access article distributed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under the terms of the Creative Commons Attribution License, which permits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10.1371/journal.pgph.0005872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PMC13395433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42490626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AC3036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16</w:t>
      </w:r>
      <w:r w:rsidR="00330A46" w:rsidRPr="00AC3036">
        <w:rPr>
          <w:rFonts w:ascii="宋体" w:eastAsia="宋体" w:hAnsi="宋体" w:cs="宋体"/>
          <w:b/>
          <w:color w:val="FF0000"/>
          <w:szCs w:val="24"/>
        </w:rPr>
        <w:t>. Clin Exp Dermatol. 2026 Jul 23:llag323. doi: 10.</w:t>
      </w:r>
      <w:r w:rsidR="00AC3036">
        <w:rPr>
          <w:rFonts w:ascii="宋体" w:eastAsia="宋体" w:hAnsi="宋体" w:cs="宋体"/>
          <w:b/>
          <w:color w:val="FF0000"/>
          <w:szCs w:val="24"/>
        </w:rPr>
        <w:t xml:space="preserve">1093/ced/llag323. Online ahead </w:t>
      </w:r>
      <w:r w:rsidR="00330A46" w:rsidRPr="00AC3036">
        <w:rPr>
          <w:rFonts w:ascii="宋体" w:eastAsia="宋体" w:hAnsi="宋体" w:cs="宋体"/>
          <w:b/>
          <w:color w:val="FF0000"/>
          <w:szCs w:val="24"/>
        </w:rPr>
        <w:t>of 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Extrapulmonary Tuberculosis Despite Preventive Therapy During Adalimumab for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Psoriasis.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Torres T(1)(2), Luz M(1).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(1)Department of Dermatology, Centro Académico Clínico ICBAS/Santo António,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Porto, Portugal.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(2)Instituto de Ciências Biomédicas Abel Salazar, University of Porto, Porto,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Portugal.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10.1093/ced/llag323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42490608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AC3036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17</w:t>
      </w:r>
      <w:r w:rsidR="00330A46" w:rsidRPr="00AC3036">
        <w:rPr>
          <w:rFonts w:ascii="宋体" w:eastAsia="宋体" w:hAnsi="宋体" w:cs="宋体"/>
          <w:b/>
          <w:color w:val="FF0000"/>
          <w:szCs w:val="24"/>
        </w:rPr>
        <w:t xml:space="preserve">. Public Health Chall. 2026 Jul 22;5(3):e70313. doi: 10.1002/puh2.70313. </w:t>
      </w:r>
    </w:p>
    <w:p w:rsidR="00330A46" w:rsidRPr="00AC3036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AC3036">
        <w:rPr>
          <w:rFonts w:ascii="宋体" w:eastAsia="宋体" w:hAnsi="宋体" w:cs="宋体"/>
          <w:b/>
          <w:color w:val="FF0000"/>
          <w:szCs w:val="24"/>
        </w:rPr>
        <w:t>eCollection 2026 Sep.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Assessment of Cattle Owners' Knowledge, Attitudes and Practices Regarding Bovine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Tuberculosis in the Eastern Cape Province, South Africa.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Maguta E(1), Michel A(2), Jaja IF(1)(3).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(1)Department of Livestock and Pasture Science Faculty of Science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Agriculture University of Fort Hare Alice South Africa.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(2)Department of Veterinary Tropical Diseases Faculty of Veterinary Science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University of Pretoria Onderstepoort South Africa.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(3)Department of Agriculture and Animal Health School of Agriculture and Life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Sciences University of South Africa Roodepoort South Africa.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Bovine tuberculosis (BTB) remains a significant zoonotic disease in livestock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production, causing considerable animal welfare and economic losses,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particularly in communal farming communities where human-animal contact is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close, and veterinary services are limited. This study aimed to assess communal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cattle owners' knowledge, attitudes and practices regarding BTB using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structured questionnaire in the Eastern Cape province of South Africa.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cross-sectional survey design was employed, and a systematic random sampling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approach was used to recruit participants from villages in the Makana, Raymond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Mhlaba and Enoch Mgijima local municipalities. Face-to-face interviews were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conducted with 186 cattle owners using a structured questionnaire administered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 IsiXhosa or English. Data were analysed using descriptive statistics,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Pearson's correlation analyses, and binary logistic regression in SPSS (version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28) and RStudio (version 4.4.2). The findings of this study revealed low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awareness: Only 18.8% of cattle owners had heard of BTB, and a limited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understanding of its transmission routes, including the consumption of raw milk,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undercooked meat and shared grazing land. Although 61.3% of cattle owners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supported culling infected cattle, resistance to control measures persists,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particularly among experienced farmers, as indicated by a negative Pearson's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correlation between experience and attitude towards BTB control (r = -0.170,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 &lt; 0.05). The low awareness levels, insufficient testing and inadequate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preventive measures increase the likelihood of undetected infections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contribute to the potential spread of BTB within herds and to human beings.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2026 The Author(s). Public Health Challenges published by John Wiley &amp; Sons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Ltd.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10.1002/puh2.70313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PMC13390965</w:t>
      </w:r>
    </w:p>
    <w:p w:rsidR="00330A46" w:rsidRPr="00330A46" w:rsidRDefault="00AC3036" w:rsidP="00330A46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42487994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41F54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18</w:t>
      </w:r>
      <w:r w:rsidR="00330A46" w:rsidRPr="00341F54">
        <w:rPr>
          <w:rFonts w:ascii="宋体" w:eastAsia="宋体" w:hAnsi="宋体" w:cs="宋体"/>
          <w:b/>
          <w:color w:val="FF0000"/>
          <w:szCs w:val="24"/>
        </w:rPr>
        <w:t>. Ann Afr Med. 2026 Jul 22. doi: 10.4103/aam.aam_424_26. Online ahead of 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Isolated Forearm Abscess with Bilateral Psoas Abscesses: An Unusual Presentation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of Extrapulmonary Preextensively Drug-resistant Tuberculosis without Pulmonary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Involvement.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[Article in English, French; Abstract available in French from the publisher]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Gabhale S(1), Goud BVK(1), Guniganti SK(2).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(1)Department of Respiratory Medicine, Dr. D. Y. Patil Medical College Hospital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and Research Centre, Pune, Maharashtra, India.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(2)Department of General Medicine, Dr. D. Y. Patil Medical College Hospital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Research Centre, Pune, Maharashtra, India.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Extrapulmonary tuberculosis (TB) accounts for 15%-20% of all TB, but soft-tissue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involvement of the extremities is distinctly uncommon. Concurrent forearm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bilateral psoas abscesses from drug-resistant Mycobacterium tuberculosis, in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patient without pulmonary disease, have not - to our knowledge - been described.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 16-year-old immunocompetent girl reported right-sided chest pain,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progressively enlarging swelling on the left forearm, anorexia, and weight loss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over roughly 2 weeks. Fever, cough, and night sweats were absent, as was any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known TB contact. On examination, the forearm lesion was firm and nontender;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bilateral lower-abdominal tenderness in the iliac fossae was the only abdominal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finding. Cross-sectional imaging identified a solitary forearm abscess together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with bilateral psoas collections; magnetic resonance imaging of the lumbosacral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spine additionally revealed vertebral-body destruction and paravertebral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soft-tissue involvement consistent with Pott's disease. Chest radiography was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unremarkable. GeneXpert MTB/RIF performed on pus aspirated from both sites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confirmed M. tuberculosis complex with rifampicin resistance; a line-probe assay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subsequently documented additional resistance to isoniazid and fluoroquinolones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- fulfilling the definition of preextensively drug-resistant (XDR) TB. An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all-oral modified longer regimen comprising cycloserine, linezolid, clofazimine,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bedaquiline, and delamanid was initiated, with steady clinical recovery. Pre-XDR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TB may manifest as disseminated soft-tissue disease at unconventional sites -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forearm and paravertebral musculature - even when the lungs are radiologically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clear. Early molecular resistance testing on pus aspirates shortened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interval to appropriate second-line therapy and likely shaped the favourable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trajectory observed here.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Copyright © 2026 Annals of African Medicine.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10.4103/aam.aam_424_26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42487358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41F54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19</w:t>
      </w:r>
      <w:r w:rsidR="00330A46" w:rsidRPr="00341F54">
        <w:rPr>
          <w:rFonts w:ascii="宋体" w:eastAsia="宋体" w:hAnsi="宋体" w:cs="宋体"/>
          <w:b/>
          <w:color w:val="FF0000"/>
          <w:szCs w:val="24"/>
        </w:rPr>
        <w:t xml:space="preserve">. ACS Infect Dis. 2026 Jul 22. doi: 10.1021/acsinfecdis.6c00520. Online ahead </w:t>
      </w:r>
      <w:r w:rsidR="00341F54" w:rsidRPr="00341F54">
        <w:rPr>
          <w:rFonts w:ascii="宋体" w:eastAsia="宋体" w:hAnsi="宋体" w:cs="宋体"/>
          <w:b/>
          <w:color w:val="FF0000"/>
          <w:szCs w:val="24"/>
        </w:rPr>
        <w:lastRenderedPageBreak/>
        <w:t xml:space="preserve">of </w:t>
      </w:r>
      <w:r w:rsidR="00330A46" w:rsidRPr="00341F54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Lyophilized LAMP Assay Combined with Lateral Flow Biosensor for Cold-Chain-Free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Detection of Mycobacterium tuberculosis.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Ckumdee J(1), Santiwatanakul S(2), Vutipow N(3), Kaewphinit T(4)(5).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(1)Department of Clinical Pathology, Faculty of Medicine, Vajira Hospital,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Navamindradhiraj University, Bangkok 10300, Thailand.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(2)Department of Pathology, Faculty of Medicine, Srinakharinwirot University,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Bangkok, Nakhon Nayok Province 26120, Thailand.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(3)Genetic Engineering and Bioinformatics Interdisciplinary Program, Graduate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School, Kasetsart University, Bangkok 10900, Thailand.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(4)Center of Excellence in Medical and Environmental Innovation Research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(CEMEIR), Srinakharinwirot University, Bangkok 10110, Thailand.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(5)Innovative Learning Center, Srinakharinwirot University, Bangkok 10110,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Thailand.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To decentralize tuberculosis surveillance in resource-limited and tropical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regions, a rapid, robust, and cold-chain-independent near-point-of-care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biosensor is urgently required to overcome the instability of conventional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liquid-formulation diagnostics. Herein, we developed a ready-to-use lyophilized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reaction mix Loop-Mediated Isothermal Amplification (LAMP) matrix integrated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with a Lateral Flow Biosensor (LFB) for the instrument-free visual detection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Mycobacterium tuberculosis (M. tuberculosis). The freeze-dried reagents,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stabilized with an optimized trehalose-BSA matrix, were hermetically packaged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and systematically evaluated for long-term thermal stability across four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regulated profiles (-20 °C, 4 °C, 25 °C, and 37 °C) over a 12-month period.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Diagnostic viability was further validated in a double-blinded study using 191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clinical sputum specimens against gold-standard culture and line probe assays.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stabilized platform demonstrated an analytical sensitivity down to 102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CFU/mL and maintained full functional activity for up to 12 months at -20 °C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4 weeks at 4 °C, with robust short-term resilience under tropical stress (25 °C)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for up to 1 week. However, the formulation was unable to withstand prolonged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exposure to harsh environmental conditions at 37 °C, resulting in a progressive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decline in amplification performance following phase-transition instability.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Crucially, clinical validation yielded an outstanding diagnostic sensitivity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98.92% and a positive predictive value (PPV) of 100.00%. These findings validate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lyophilized LAMP-LFB platform as a highly reliable, sustainable,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distributable molecular diagnostic tool capable of overcoming the cold-chain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bottleneck in field-based tuberculosis detection. Although the developed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platform shows strong potential for near-point-of-care deployment, further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optimization of the lyophilization formulation and process will be necessary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enable prolonged storage and transportation under ambient-temperature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conditions.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10.1021/acsinfecdis.6c00520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42486811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41F54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341F54">
        <w:rPr>
          <w:rFonts w:ascii="宋体" w:eastAsia="宋体" w:hAnsi="宋体" w:cs="宋体"/>
          <w:b/>
          <w:color w:val="FF0000"/>
          <w:szCs w:val="24"/>
        </w:rPr>
        <w:t>2</w:t>
      </w:r>
      <w:r w:rsidR="006F6C83">
        <w:rPr>
          <w:rFonts w:ascii="宋体" w:eastAsia="宋体" w:hAnsi="宋体" w:cs="宋体"/>
          <w:b/>
          <w:color w:val="FF0000"/>
          <w:szCs w:val="24"/>
        </w:rPr>
        <w:t>0</w:t>
      </w:r>
      <w:r w:rsidRPr="00341F54">
        <w:rPr>
          <w:rFonts w:ascii="宋体" w:eastAsia="宋体" w:hAnsi="宋体" w:cs="宋体"/>
          <w:b/>
          <w:color w:val="FF0000"/>
          <w:szCs w:val="24"/>
        </w:rPr>
        <w:t xml:space="preserve">. Int J Infect Dis. 2026 Jul 22:108994. doi: 10.1016/j.ijid.2026.108994. Online </w:t>
      </w:r>
    </w:p>
    <w:p w:rsidR="00330A46" w:rsidRPr="00341F54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341F54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Silent Aftershock: Preventing Tuberculosis Transmission and Treatment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Interruption in Venezuela's Post-Earthquake Shelters.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Rodriguez-Morales AJ(1), Bambague-Trujillo LF(2), Risquez A(3), Perez-Franco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JE(4), Thormann M(5), Guedez-Lopez FJ(6), Carvajal A(7), Khalil-Bittar RM(8),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Sánchez E(9), Roldan Y(10), González J(11), Hernández M(12), Abbara A(13), Abri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SA(14).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(1)Faculty of Health Sciences, Universidad Científica del Sur, Lima, Peru.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Electronic address: arodriguezmo@cientifica.edu.pe.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(2)Faculty of Medicine, Program of Family Medicine Specialization, Fundación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Universitaria Autónoma de Las Américas-Institución Universitaria Visión de Las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Américas, Pereira, Risaralda, Colombia. Electronic address: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luis.bambague@uam.edu.co.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(3)Faculty of Medicine, Universidad Central de Venezuela, Caracas, Venezuela.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Electronic address: risqueza@gmail.com.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(4)La Cardio, Fundación Neumológica Colombiana, Bogotá, Colombia. Committee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Tuberculosis, Colombian Association of Infectious Diseases, Bogota, Colombia.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Electronic address: jairoe21@gmail.com.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(5)Tuberculosis Program, Department of Communicable Diseases Prevention,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Ministry of Health, Santo Domingo, Dominican Republic. Committee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Tuberculosis, Pan-American Association of Infectious Diseases, Santo Domingo,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Dominican Republic. Electronic address: monica_thormann@hotmail.com.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(6)Hospital Dr Martin Lucena del Municipio Muñoz, Apure, Venezuela. Electronic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address: francisco.guedez1986@gmail.com.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(7)Posgrado de Infectología, Hospital Universitario de Caracas, Universidad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Central de Venezuela, Caracas 1050, Venezuela. Electronic address: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anacarvajal09@gmail.com.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(8)Catedra de Medicina 3, Hospital Universitario de Caracas, Universidad Central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de Venezuela, Caracas 1050, Venezuela. Electronic address: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maiguakhalil@gmail.com.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(9)Infectious Diseases Service, Hospital Santos Anibal Dominicci, Carúpano,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Sucre, Venezuela. Electronic address: eliasanchez.infectologa@gmail.com.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(10)Infectious Diseases Service, Hospital General Dr. José Ignacio Baldó,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>Caracas, Venezuela. Electronic address: yroldan29@gmail.com.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(11)Centro de Emergencia Infantil Coromoto; Hospital Militar Cap. AV (F)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Guillermo Hernández Jacobsen; Unidad IPASME San Juan de Colón; San Cristobal,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Venezuela. Thematic Group of Mycobacteria, Sociedad Venezolana de Infectología,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Caracas, Venezuela. Electronic address: jorgego58@hotmail.com.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(12)Clínica de la Mujer, Del Sur Policlínica, El Tigre 6050, Venezuela. Sociedad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Venezolana de Infectología (SVI), Caracas, Venezuela. Electronic address: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mjhp455@yahoo.com.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(13)Faculty of Medicine, Imperial College London, St Mary's Hospital, London,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United Kingdom; Syria Public Health Network, United Kingdom; MSF OCA, Manson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Unit, London, United Kingdom. Electronic address: aula.abbara@gmail.com.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(14)Department of Medicine, Royal Hospital, Muscat, Oman. Electronic address: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salabri@gmail.com.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10.1016/j.ijid.2026.108994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42486220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41F54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341F54">
        <w:rPr>
          <w:rFonts w:ascii="宋体" w:eastAsia="宋体" w:hAnsi="宋体" w:cs="宋体"/>
          <w:b/>
          <w:color w:val="FF0000"/>
          <w:szCs w:val="24"/>
        </w:rPr>
        <w:t>2</w:t>
      </w:r>
      <w:r w:rsidR="006F6C83">
        <w:rPr>
          <w:rFonts w:ascii="宋体" w:eastAsia="宋体" w:hAnsi="宋体" w:cs="宋体"/>
          <w:b/>
          <w:color w:val="FF0000"/>
          <w:szCs w:val="24"/>
        </w:rPr>
        <w:t>1</w:t>
      </w:r>
      <w:r w:rsidRPr="00341F54">
        <w:rPr>
          <w:rFonts w:ascii="宋体" w:eastAsia="宋体" w:hAnsi="宋体" w:cs="宋体"/>
          <w:b/>
          <w:color w:val="FF0000"/>
          <w:szCs w:val="24"/>
        </w:rPr>
        <w:t xml:space="preserve">. PLOS Glob Public Health. 2026 Jul 22;6(7):e0006209. doi: </w:t>
      </w:r>
    </w:p>
    <w:p w:rsidR="00330A46" w:rsidRPr="00341F54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341F54">
        <w:rPr>
          <w:rFonts w:ascii="宋体" w:eastAsia="宋体" w:hAnsi="宋体" w:cs="宋体"/>
          <w:b/>
          <w:color w:val="FF0000"/>
          <w:szCs w:val="24"/>
        </w:rPr>
        <w:t>10.1371/journal.pgph.0006209. eCollection 2026.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Implementation of differentiated service delivery strategies for patients with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tuberculosis in Haiti during a severe humanitarian crisis, January-August 2021.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Vilbrun SC(1), Braccio C(2), Augustin GM(3), François K(4), Richard M(5), Joseph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P(1), Harris JB(2), Charles M(2).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(1)Les Centres GHESKIO, Port-au-Prince, Haiti.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(2)Division of Global HIV and Tuberculosis, US Centers for Disease Control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Prevention, Atlanta, Georgia, United States of America.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(3)Division of Global HIV and Tuberculosis, US Centers for Disease Control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Prevention, Port-au-Prince, Haiti.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(4)National HIV Program, Ministry of Health, Port-au-Prince, Haiti.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(5)National Tuberculosis Program, Ministry of Health, Port-au-Prince, Haiti.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Global efforts to control tuberculosis (TB) faced significant challenges during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COVID-19 pandemic, particularly in Haiti, where it coincided with a severe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humanitarian crisis. To minimize facility visits for patients, a differentiated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service delivery (DSD) model with multi-month dispensing of TB drugs was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implemented at two high-volume health facilities in Port-au-Prince, Haiti. All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patients aged 18 years and older who initiated drug-susceptible TB treatment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from January 1 to August 31, 2022 were included in the prospective cohort.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Clinicians first identified clinically stable patients who met criteria for DSD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eligibility and offered them enrollment in the DSD model. Those deemed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unsuitable for DSD or declined DSD were treated under the standard of care (SOC)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model. DSD patients received an initial 2-month supply of medication followed by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either a 4-month supply or two additional 2-month supplies. They also received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remote follow-up via mobile communication within 24-48 hours of treatment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initiation, biweekly during the first two months, and monthly during the last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four months. Under SOC, patients came to the facility for clinical review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drug dispensation every 2-4 weeks during the first two months, and monthly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during the last four months. Robust Poisson regression was used to analyze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relationship between treatment success and cohort type. During the project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period, a total of 551 patients initiated TB treatment: 151 in the DSD model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400 under SOC. Thirty-nine percent were female; median age was 33 years; and 25%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were HIV-positive. Treatment success (defined as those who were cured or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completed treatment) was significantly higher in the DSD group at (140/151;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93%), compared to 312/400 (78%) in the SOC group (adjusted risk ratio [aRR]: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1.10, p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>=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0.02): however, there was no significant difference after excluding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patients who were lost-to-follow-up (aRR: 1.00; p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>=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0.85). This project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demonstrates that a DSD model can achieve high TB treatment success rates, even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amid challenging circumstances like the COVID-19 pandemic and socio-political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unrest. Adapting healthcare systems through innovative service delivery methods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is essential to effectively meet patient needs during global health crises.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Copyright: This is an open access article, free of all copyright, and may be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freely reproduced, distributed, transmitted, modified, built upon, or otherwise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used by anyone for any lawful purpose. The work is made available under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Creative Commons CC0 public domain dedication.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10.1371/journal.pgph.0006209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PMC13390852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42485310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41F54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330A46" w:rsidRPr="00341F54">
        <w:rPr>
          <w:rFonts w:ascii="宋体" w:eastAsia="宋体" w:hAnsi="宋体" w:cs="宋体"/>
          <w:b/>
          <w:color w:val="FF0000"/>
          <w:szCs w:val="24"/>
        </w:rPr>
        <w:t xml:space="preserve">2. Rev Inst Med Trop Sao Paulo. 2026 Jul 20;68:e43. doi: </w:t>
      </w:r>
    </w:p>
    <w:p w:rsidR="00330A46" w:rsidRPr="00341F54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341F54">
        <w:rPr>
          <w:rFonts w:ascii="宋体" w:eastAsia="宋体" w:hAnsi="宋体" w:cs="宋体"/>
          <w:b/>
          <w:color w:val="FF0000"/>
          <w:szCs w:val="24"/>
        </w:rPr>
        <w:t>10.1590/S1678-9946202668043. eCollection 2026.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Disseminated tuberculosis with Poncet's disease mimicking childhood-onset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systemic lupus erythematosus: a unique case report.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França MS(1), Gomes FL(2), Nogueira MA(2), Pereira MFB(2), Marques HHS(2), Kozu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KT(1), Campos LMA(1), Silva CA(1).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(1)Universidade de São Paulo, Faculdade de Medicina, Hospital das Clínicas,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Instituto da Criança e do Adolescente, Unidade de Reumatologia Pediátrica, São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Paulo, São Paulo, Brazil.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(2)Universidade de São Paulo, Faculdade de Medicina, Hospital das Clínicas,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Instituto da Criança e do Adolescente, Unidade de Infectologia Pediátrica, São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Paulo, São Paulo, Brazil.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Disseminated tuberculosis in children may present with systemic and immunologic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features that overlap with autoimmune diseases, complicating diagnosis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treatment. We report the first pediatric case of microbiologically confirmed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disseminated tuberculosis involving multiple sites associated with Poncet's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disease, mimicking childhood-onset systemic lupus erythematosus (cSLE).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previously healthy five-year-old boy presented with a four-month history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persistent fever, weight loss, and symmetrical oligoarthritis involving both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knees and wrists, resulting in loss of mobility. Laboratory tests revealed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severe non-hemolytic anemia, leukopenia, elevated inflammatory markers,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hypoalbuminemia, hematuria, positive antinuclear antibodies, low complement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levels, and lupus anticoagulant positivity. Chest imaging showed bilateral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pleural effusion, pulmonary opacities, and lymphadenopathy, fulfilling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Systemic Lupus International Collaborating Clinics (SLICC) classification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criteria for cSLE. Despite initially negative tuberculin skin test and gastric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lavage analysis, lymph node biopsy confirmed Mycobacterium tuberculosis by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histology, molecular assay, and culture. Subsequent urine and gastric samples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were also positive. The patient had received BCG vaccination at birth. He was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treated with rifampicin, isoniazid, pyrazinamide, and pyridoxine, with rapid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clinical improvement, complete resolution of arthritis, and full recovery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mobility without sequelae in one month. No immunosuppressive therapy was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administered. This case reinforces the diagnostic complexity of distinguishing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 from childhood-onset systemic autoimmune rheumatic diseases,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particularly in endemic regions. To our knowledge, this is the first reported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pediatric case of disseminated tuberculosis with Poncet's disease mimicking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cSLE. Recognizing this specific condition is crucial to prevent misdiagnosis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unnecessary immunosuppression, while ensuring timely treatment of the underlying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infection.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10.1590/S1678-9946202668043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PMC13384502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42484251 [Indexed for MEDLINE]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41F54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330A46" w:rsidRPr="00341F54">
        <w:rPr>
          <w:rFonts w:ascii="宋体" w:eastAsia="宋体" w:hAnsi="宋体" w:cs="宋体"/>
          <w:b/>
          <w:color w:val="FF0000"/>
          <w:szCs w:val="24"/>
        </w:rPr>
        <w:t xml:space="preserve">3. Respirol Case Rep. 2026 Jul 20;14(7):e70680. doi: 10.1002/rcr2.70680. </w:t>
      </w:r>
    </w:p>
    <w:p w:rsidR="00330A46" w:rsidRPr="00341F54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341F54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First Documented Case of Congenital Drug-Resistant Tuberculosis 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Indonesia: A Case Report.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Centauri C(1), Adiprabowo SF(1), Marsubrin PMT(1), Pratomo IP(2).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(1)Department of Pediatrics University of Indonesia - Universitas Indonesia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Hospital Depok Indonesia.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(2)Department of Pulmonology University of Indonesia - Universitas Indonesia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Hospital Depok Indonesia.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Congenital drug-resistant tuberculosis (DR-TB) is a rare condition with no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standardized treatment. Congenital TB itself is a life-threatening condition.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clinical manifestations can be nonspecific, particularly in preterm infants,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which can further reduce diagnostic awareness. We report a case of a 32-week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preterm baby with rifampicin-resistant TB. She was born with respiratory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distress and early-onset jaundice, initially suspected of sepsis and admitted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the NICU. The infant initially showed clinical improvement at 3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days of life,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but at 23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days of life, the clinical condition worsened despite a sterile blood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culture. The mother was subsequently diagnosed with miliary TB with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rifampicin-resistant Xpert sputum. The infant's gastric lavage Xpert MTB/RIF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confirmed rifampicin-resistant TB. At 32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days of life, she received a five-drug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regimen, including bedaquiline. She completed 12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months of treatment with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favourable outcome. This case highlights the challenges of early recognition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treatment selection in congenital DR-TB.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2026 The Author(s). Respirology Case Reports published by John Wiley &amp; Sons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Australia, Ltd on behalf of The Asian Pacific Society of Respirology.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10.1002/rcr2.70680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PMC13385517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</w:t>
      </w:r>
      <w:r w:rsidR="00341F54">
        <w:rPr>
          <w:rFonts w:ascii="宋体" w:eastAsia="宋体" w:hAnsi="宋体" w:cs="宋体"/>
          <w:color w:val="000000" w:themeColor="text1"/>
          <w:szCs w:val="24"/>
        </w:rPr>
        <w:t>483210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41F54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24</w:t>
      </w:r>
      <w:r w:rsidR="00330A46" w:rsidRPr="00341F54">
        <w:rPr>
          <w:rFonts w:ascii="宋体" w:eastAsia="宋体" w:hAnsi="宋体" w:cs="宋体"/>
          <w:b/>
          <w:color w:val="FF0000"/>
          <w:szCs w:val="24"/>
        </w:rPr>
        <w:t xml:space="preserve">. Thorac Res Pract. 2026 Jul 22. doi: 10.4274/ThoracResPract.2026.2026-1-16. </w:t>
      </w:r>
    </w:p>
    <w:p w:rsidR="00330A46" w:rsidRPr="00341F54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341F54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Rifabutin Cross-resistance and Associated rpoB Mutations in Rifampicin-resistant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Mycobacterium tuberculosis Complex Isolates.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Sürücüo</w:t>
      </w:r>
      <w:r w:rsidRPr="00330A46">
        <w:rPr>
          <w:rFonts w:ascii="Cambria" w:eastAsia="宋体" w:hAnsi="Cambria" w:cs="Cambria"/>
          <w:color w:val="000000" w:themeColor="text1"/>
          <w:szCs w:val="24"/>
        </w:rPr>
        <w:t>ğ</w:t>
      </w:r>
      <w:r w:rsidRPr="00330A46">
        <w:rPr>
          <w:rFonts w:ascii="宋体" w:eastAsia="宋体" w:hAnsi="宋体" w:cs="宋体"/>
          <w:color w:val="000000" w:themeColor="text1"/>
          <w:szCs w:val="24"/>
        </w:rPr>
        <w:t>lu N(1), S</w:t>
      </w:r>
      <w:r w:rsidRPr="00330A46">
        <w:rPr>
          <w:rFonts w:ascii="宋体" w:eastAsia="宋体" w:hAnsi="宋体" w:cs="宋体" w:hint="eastAsia"/>
          <w:color w:val="000000" w:themeColor="text1"/>
          <w:szCs w:val="24"/>
        </w:rPr>
        <w:t>ü</w:t>
      </w:r>
      <w:r w:rsidRPr="00330A46">
        <w:rPr>
          <w:rFonts w:ascii="宋体" w:eastAsia="宋体" w:hAnsi="宋体" w:cs="宋体"/>
          <w:color w:val="000000" w:themeColor="text1"/>
          <w:szCs w:val="24"/>
        </w:rPr>
        <w:t>r</w:t>
      </w:r>
      <w:r w:rsidRPr="00330A46">
        <w:rPr>
          <w:rFonts w:ascii="宋体" w:eastAsia="宋体" w:hAnsi="宋体" w:cs="宋体" w:hint="eastAsia"/>
          <w:color w:val="000000" w:themeColor="text1"/>
          <w:szCs w:val="24"/>
        </w:rPr>
        <w:t>ü</w:t>
      </w:r>
      <w:r w:rsidRPr="00330A46">
        <w:rPr>
          <w:rFonts w:ascii="宋体" w:eastAsia="宋体" w:hAnsi="宋体" w:cs="宋体"/>
          <w:color w:val="000000" w:themeColor="text1"/>
          <w:szCs w:val="24"/>
        </w:rPr>
        <w:t>c</w:t>
      </w:r>
      <w:r w:rsidRPr="00330A46">
        <w:rPr>
          <w:rFonts w:ascii="宋体" w:eastAsia="宋体" w:hAnsi="宋体" w:cs="宋体" w:hint="eastAsia"/>
          <w:color w:val="000000" w:themeColor="text1"/>
          <w:szCs w:val="24"/>
        </w:rPr>
        <w:t>ü</w:t>
      </w:r>
      <w:r w:rsidRPr="00330A46">
        <w:rPr>
          <w:rFonts w:ascii="宋体" w:eastAsia="宋体" w:hAnsi="宋体" w:cs="宋体"/>
          <w:color w:val="000000" w:themeColor="text1"/>
          <w:szCs w:val="24"/>
        </w:rPr>
        <w:t>o</w:t>
      </w:r>
      <w:r w:rsidRPr="00330A46">
        <w:rPr>
          <w:rFonts w:ascii="Cambria" w:eastAsia="宋体" w:hAnsi="Cambria" w:cs="Cambria"/>
          <w:color w:val="000000" w:themeColor="text1"/>
          <w:szCs w:val="24"/>
        </w:rPr>
        <w:t>ğ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lu S(2), </w:t>
      </w:r>
      <w:r w:rsidRPr="00330A46">
        <w:rPr>
          <w:rFonts w:ascii="宋体" w:eastAsia="宋体" w:hAnsi="宋体" w:cs="宋体" w:hint="eastAsia"/>
          <w:color w:val="000000" w:themeColor="text1"/>
          <w:szCs w:val="24"/>
        </w:rPr>
        <w:t>Ö</w:t>
      </w:r>
      <w:r w:rsidRPr="00330A46">
        <w:rPr>
          <w:rFonts w:ascii="宋体" w:eastAsia="宋体" w:hAnsi="宋体" w:cs="宋体"/>
          <w:color w:val="000000" w:themeColor="text1"/>
          <w:szCs w:val="24"/>
        </w:rPr>
        <w:t>zk</w:t>
      </w:r>
      <w:r w:rsidRPr="00330A46">
        <w:rPr>
          <w:rFonts w:ascii="宋体" w:eastAsia="宋体" w:hAnsi="宋体" w:cs="宋体" w:hint="eastAsia"/>
          <w:color w:val="000000" w:themeColor="text1"/>
          <w:szCs w:val="24"/>
        </w:rPr>
        <w:t>ü</w:t>
      </w:r>
      <w:r w:rsidRPr="00330A46">
        <w:rPr>
          <w:rFonts w:ascii="宋体" w:eastAsia="宋体" w:hAnsi="宋体" w:cs="宋体"/>
          <w:color w:val="000000" w:themeColor="text1"/>
          <w:szCs w:val="24"/>
        </w:rPr>
        <w:t>t</w:t>
      </w:r>
      <w:r w:rsidRPr="00330A46">
        <w:rPr>
          <w:rFonts w:ascii="宋体" w:eastAsia="宋体" w:hAnsi="宋体" w:cs="宋体" w:hint="eastAsia"/>
          <w:color w:val="000000" w:themeColor="text1"/>
          <w:szCs w:val="24"/>
        </w:rPr>
        <w:t>ü</w:t>
      </w:r>
      <w:r w:rsidRPr="00330A46">
        <w:rPr>
          <w:rFonts w:ascii="宋体" w:eastAsia="宋体" w:hAnsi="宋体" w:cs="宋体"/>
          <w:color w:val="000000" w:themeColor="text1"/>
          <w:szCs w:val="24"/>
        </w:rPr>
        <w:t>k N(2).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(1)Clinic of Medical Microbiology, Manisa City Hospital, Manisa, Türkiye.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(2)Department of Medical Microbiology, Manisa Celal Bayar University Faculty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Medicine, Manisa, Türkiye.</w:t>
      </w:r>
    </w:p>
    <w:p w:rsidR="00330A46" w:rsidRPr="00341F54" w:rsidRDefault="00330A46" w:rsidP="00330A46">
      <w:pPr>
        <w:rPr>
          <w:rFonts w:ascii="宋体" w:eastAsia="宋体" w:hAnsi="宋体" w:cs="宋体"/>
          <w:b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41F54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This study aimed to phenotypically evaluate rifabutin susceptibility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 rifampicin-resistant Mycobacterium tuberculosis complex isolates and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identify, through DNA sequence analysis of the rifampicin resistance-determining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region (RRDR), specific rpoB mutations associated with rifabutin susceptibility.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41F54">
        <w:rPr>
          <w:rFonts w:ascii="宋体" w:eastAsia="宋体" w:hAnsi="宋体" w:cs="宋体"/>
          <w:b/>
          <w:color w:val="000000" w:themeColor="text1"/>
          <w:szCs w:val="24"/>
        </w:rPr>
        <w:lastRenderedPageBreak/>
        <w:t>MATERIAL AND METHODS: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A total of 43 rifampicin-resistant and 23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rifampicin-susceptible (control) Mycobacterium tuberculosis complex isolates,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collected between 2000 and 2020 at the Mycobacteriology Laboratories of Manisa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Celal Bayar University and Ege University Faculty of Medicine, were included.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Phenotypic drug susceptibility testing was performed using the MGIT 960 system.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Mutations in a 682-bp fragment encompassing the 81-bp RRDR of the rpoB gene were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investigated by Sanger sequencing.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41F5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Among the 43 rifampicin-resistant isolates, 39 (91%) were resistant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rifabutin, while four (9%) remained susceptible. All rifampicin-susceptible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isolates were also susceptible to rifabutin. A total of 44 non-synonymous single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nucleotide polymorphisms were detected in rifampicin-resistant isolates, whereas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no mutations were observed in the control group. Seven distinct mutation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patterns were identified, including one isolate with a double mutation. The most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common mutations were S531L (76%), H526Y (12%), and D516Y (4%). The mutations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D516Y, L511P, and L533P, as well as the M515I+D516Y double mutation, were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associated with rifabutin susceptibility.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41F54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Early identification of rpoB mutations associated with rifabutin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susceptibility may allow substitution of rifampicin with rifabutin in selected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rifampicin-resistant cases, potentially improving treatment outcomes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limiting the emergence of resistance to second-line drugs. Further in vitro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studies, including minimum inhibitory concentration testing, and additional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clinical data on rifabutin-containing regimens are needed.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10.4274/ThoracResPract.2026.2026-1-16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42482679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41F54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25</w:t>
      </w:r>
      <w:r w:rsidR="00330A46" w:rsidRPr="00341F54">
        <w:rPr>
          <w:rFonts w:ascii="宋体" w:eastAsia="宋体" w:hAnsi="宋体" w:cs="宋体"/>
          <w:b/>
          <w:color w:val="FF0000"/>
          <w:szCs w:val="24"/>
        </w:rPr>
        <w:t>. Genome Med. 2026 Jul 21. doi: 10.1186/s13073-026-01726-7. Online ahead of 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Towards culture-free sequencing of Mycobacterium tuberculosis: evaluating new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targeted and whole-genome approaches for genotyping and drug resistance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profiling.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Iannucci I(1)(2), Di Marco F(1)(3), Moghaddasi K(1), Miotto P(1); POR TB study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group; Cabibbe AM(4), Cirillo DM(1).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Collaborators: Borges ÁH, Churchyard G, Dawson R, Diacon AH, Haterill M,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Mortensen R, Nemes E, Russell M, Sabi I, Scriba T, Skallerup P, Van Brakel 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(1)Emerging Bacterial Pathogens Unit, IRCCS San Raffaele Scientific Institute,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Via Olgettina 60, 20132, Milan, Italy.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(2)Vita-Salute San Raffaele University, Milan, Italy.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(3)Department of Informatics, System and Communication, Università Degli Studi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>Di Milano-Bicocca, Milan, Italy.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(4)Emerging Bacterial Pathogens Unit, IRCCS San Raffaele Scientific Institute,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Via Olgettina 60, 20132, Milan, Italy. cabibbe.andreamaurizio@hsr.it.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41F54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The effectiveness of current drug-resistant tuberculosis (DR-TB)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regimens is limited by the absence of rapid diagnostics that comprehensively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predict resistance to included drugs. Next-generation sequencing (NGS), through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culture-free targeted sequencing (tNGS) and culture-based whole-genome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sequencing (cWGS) of the Mycobacterium tuberculosis complex (MTBC), offers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powerful framework for precision diagnosis, surveillance, and trial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applications. We evaluated two novel assays enabling high-resolution tNGS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enrichment-based direct WGS (dWGS) on respiratory samples, focusing 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analytical sensitivity, DR and genotyping concordance.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41F54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tNGS Deeplex Myc-TB XL tNGS (Genoscreen, beta-testing) and dWGS QIAseq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xHYB MTB (Qiagen) were evaluated on 96 MTBC-positive decontaminated sputum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samples from a vaccine trial, spanning a wide range of bacillary loads. DNA was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extracted using a host-depletion protocol and quantified by MTBC-specific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real-time PCR. Libraries were sequenced on Illumina platforms and analysed using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assay-specific pipelines. Associations between genome copy (gc) number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sequencing coverage were assessed. DR concordance was benchmarked against cWGS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and the WHO mutation catalogue across first-, second-line, newer, and repurposed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drugs. WGS-based phylogenetic trees were constructed using Ridom SeqSphere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>+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>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41F54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330A46">
        <w:rPr>
          <w:rFonts w:ascii="宋体" w:eastAsia="宋体" w:hAnsi="宋体" w:cs="宋体"/>
          <w:color w:val="000000" w:themeColor="text1"/>
          <w:szCs w:val="24"/>
        </w:rPr>
        <w:t>Bacillary loads ranged from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>&lt;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>10 to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>&gt;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>1,000 MTBC gc/</w:t>
      </w:r>
      <w:r w:rsidRPr="00330A46">
        <w:rPr>
          <w:rFonts w:ascii="宋体" w:eastAsia="宋体" w:hAnsi="宋体" w:cs="宋体" w:hint="eastAsia"/>
          <w:color w:val="000000" w:themeColor="text1"/>
          <w:szCs w:val="24"/>
        </w:rPr>
        <w:t>µ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L. tNGS generated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interpretable resistance profiles in 96.6% of specimens, achieving a limit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detection (LoD) of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>~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10 gc, with 100% positive agreement for all evaluated drugs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and 100% negative agreement except for isoniazid/ethionamide (</w:t>
      </w:r>
      <w:r w:rsidRPr="00330A46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97%). dWGS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yielded data suitable for DR analysis in 75% of samples, with a LoD of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>~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100gc.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No false negatives were observed for most drugs; one fluoroquinolone-resistant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case was missed due to low-frequency variant thresholds, and resistance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delamanid and clofazimine was misclassified in one case each owing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interpretation rules. Negative agreement was 100% except for rifampicin (</w:t>
      </w:r>
      <w:r w:rsidRPr="00330A46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97%).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Lineage assignment was concordant with cWGS for both approaches, and dWGS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supported transmission analysis in 65% of samples with adequate genome coverage,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confirming the cluster detected by cWGS.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41F54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In this predominantly drug-susceptible TB cohort, tNGS showed high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overall agreement with cWGS for DR profiling with a LoD within the range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low-complexity automated assays used for initial diagnosis. dWGS, while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requiring higher DNA input, enables robust culture-free genome-wide analysis,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including transmission inference and exploration of candidate DR loci. Bacillary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load-guided integration of both approaches may optimize DR-TB clinical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management and genomic surveillance. Larger studies are needed to validate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clinical and epidemiological predictive performance.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TRIAL REGISTRATION: This trial was registered on April 19, 2018, on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ClinicalTrials.gov database under the title: Study to Evaluate H56:IC31 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>Preventing Rate of TB Recurrence, with the identifier NCT03512249.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10.1186/s13073-026-01726-7</w:t>
      </w:r>
    </w:p>
    <w:p w:rsidR="00330A46" w:rsidRPr="00330A46" w:rsidRDefault="00341F54" w:rsidP="00330A46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42482138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41F54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26</w:t>
      </w:r>
      <w:r w:rsidR="00330A46" w:rsidRPr="00341F54">
        <w:rPr>
          <w:rFonts w:ascii="宋体" w:eastAsia="宋体" w:hAnsi="宋体" w:cs="宋体"/>
          <w:b/>
          <w:color w:val="FF0000"/>
          <w:szCs w:val="24"/>
        </w:rPr>
        <w:t>. Nat Commun. 2026 Jul 21;17(1):6178. doi: 10.1038/s41467-026-75202-6.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Host-directed treatments for tuberculous meningitis utilizing a multi-platform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approach across mouse and human models.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Ruiz-Gonzalez CE(#)(1)(2)(3), Singh M(#)(1)(2)(3), Masias-Leon Y(#)(1)(2)(3),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Chen X(2)(3), Sarhan MO(1)(2)(3), Martinez-Martinez YB(2)(4), Patel S(1)(2)(3),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Shambles M(2)(3), Villabona-Rueda A(5), Lissit K(6), Tweedie D(7), Scerba MT(7),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Bishai WR(2)(4), Artemov D(8), Xu JC(6)(9), D'Alessio F(5), Hafner R(10), Greig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NH(7), Manion M(11), Sereti I(12), Jain SK(13)(14)(15)(16).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(1)Department of Pediatrics, Cincinnati Children's Hospital Medical Center,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Cincinnati, OH,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(2)Center for Tuberculosis Research, Johns Hopkins University School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Medicine, Baltimore, MD,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(3)Department of Pediatrics, Johns Hopkins University School of Medicine,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Baltimore, MD,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(4)Department of Medicine, Johns Hopkins University School of Medicine,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Baltimore, MD,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(5)Division of Pulmonary, Critical Care and Sleep Medicine, Miller School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Medicine, University of Miami, Miami, FL,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(6)Human iPSC Core for Neurodegenerative Disease Research, Johns Hopkins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Alzheimer's Disease Research Center, Johns Hopkins University School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Medicine, Baltimore, MD,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(7)Translational Gerontology Branch, National Institute on Aging, National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Institutes of Health, Baltimore, MD,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(8)Russell H. Morgan Department of Radiology and Radiological Science, Johns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Hopkins University School of Medicine, Baltimore, MD,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(9)Department of Neurology, Johns Hopkins University School of Medicine,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Baltimore, MD,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(10)Division of AIDS, National Institute of Allergy and Infectious Diseases,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National Institutes of Health, Bethesda, MD,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(11)Office of the Clinical Director, National Institute of Allergy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Infectious Diseases, National Institutes of Health, Bethesda, MD,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(12)Division of Intramural Research, National Institute of Allergy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Infectious Diseases, National Institutes of Health, Bethesda, MD,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(13)Department of Pediatrics, Cincinnati Children's Hospital Medical Center,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Cincinnati, OH, USA. sanjay.jain@cchmc.org.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(14)Center for Tuberculosis Research, Johns Hopkins University School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Medicine, Baltimore, MD, USA. sanjay.jain@cchmc.org.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(15)Department of Pediatrics, Johns Hopkins University School of Medicine,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Baltimore, MD, USA. sanjay.jain@cchmc.org.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(16)Russell H. Morgan Department of Radiology and Radiological Science, Johns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Hopkins University School of Medicine, Baltimore, MD, USA.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sanjay.jain@cchmc.org.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Tuberculous meningitis (TB meningitis) is a major cause of death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neurological deficit despite recommended antibiotic and corticosteroid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treatments, primarily due to dysregulated neuroinflammation. Here, we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investigate a diverse panel of 12 immunomodulatory drugs as host-directed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treatments (HDTs) for TB meningitis utilizing a cross-species framework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comprising studies in a mouse model of TB meningitis with clinical endpoints,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and parallel mechanistic studies in a newly developed immune-vascularized human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brain organoid model of TB meningitis and peripheral blood mononuclear cells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(PBMCs) from patients with TB meningitis. Imatinib, bestatin, roflumilast,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palacaparib, thalidomide/pomalidomide and semaglutide outperform the current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standard of care by reducing mortality and/or neurological deficits in mice via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suppression of neuroinflammation. Importantly, these HDTs significantly reduce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microglial activation in Mycobacterium tuberculosis-infected human brain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organoids and attenuate proinflammatory cytokines, particularly IFNγ within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CD4+</w:t>
      </w:r>
      <w:r w:rsidRPr="00330A46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T-cells in patient-derived PBMCs. These findings highlight the potential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targeted HDTs to improve outcomes in TB meningitis and warrant clinical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investigation.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10.1038/s41467-026-75202-6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PMC13389251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42481504 [Indexed for MEDLINE]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41F54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AB1479">
        <w:rPr>
          <w:rFonts w:ascii="宋体" w:eastAsia="宋体" w:hAnsi="宋体" w:cs="宋体"/>
          <w:b/>
          <w:color w:val="FF0000"/>
          <w:szCs w:val="24"/>
        </w:rPr>
        <w:t>7</w:t>
      </w:r>
      <w:r w:rsidR="00330A46" w:rsidRPr="00341F54">
        <w:rPr>
          <w:rFonts w:ascii="宋体" w:eastAsia="宋体" w:hAnsi="宋体" w:cs="宋体"/>
          <w:b/>
          <w:color w:val="FF0000"/>
          <w:szCs w:val="24"/>
        </w:rPr>
        <w:t>. BMJ Case Rep. 2026 Jul 21;19(7):e274929. doi: 10.1136/bcr-2026-274929.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Atypical facial plaque in diabetes unmasking cutaneous and pulmonary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Chakravarti CH(1), Patel YL(2), Patel BM(2), Shah AD(2).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(1)Respiratory Medicine, Sumandeep Vidyapeeth Deemed to be University, Vadodara,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>Gujarat, India chirag1781992@gmail.com.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(2)Respiratory Medicine, Sumandeep Vidyapeeth Deemed to be University, Vadodara,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Gujarat, India.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Cutaneous tuberculosis (TB) is a rare extrapulmonary manifestation that often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presents atypically, particularly in patients with comorbid conditions like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diabetes mellitus. Such presentations frequently lead to diagnostic delays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prolonged morbidity.We report the case of a woman in her late 40s with type 2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diabetes who presented with a chronic, progressively enlarging facial plaque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systemic constitutional symptoms. While radiological findings were highly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suggestive of pulmonary TB, repeated sputum testing was inconclusive. Diagnostic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confirmation was achieved through tissue-based molecular testing of the skin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lesion. The patient showed an excellent clinical response to standard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anti-tubercular therapy.This case highlights the necessity of maintaining a high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index of clinical suspicion for TB in diabetic patients presenting with chronic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skin lesions and underscores the vital use of molecular diagnostics, such as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cartridge-based nucleic acid amplification test (CBNAAT), in identifying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paucibacillary disease.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BMJ Publishing Group Limited 2026. No commercial re-use. See rights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permissions. Published by BMJ Group.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10.1136/bcr-2026-274929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42481148 [Indexed for MEDLINE]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41F54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6C6BF8">
        <w:rPr>
          <w:rFonts w:ascii="宋体" w:eastAsia="宋体" w:hAnsi="宋体" w:cs="宋体"/>
          <w:b/>
          <w:color w:val="FF0000"/>
          <w:szCs w:val="24"/>
        </w:rPr>
        <w:t>8</w:t>
      </w:r>
      <w:r w:rsidR="00330A46" w:rsidRPr="00341F54">
        <w:rPr>
          <w:rFonts w:ascii="宋体" w:eastAsia="宋体" w:hAnsi="宋体" w:cs="宋体"/>
          <w:b/>
          <w:color w:val="FF0000"/>
          <w:szCs w:val="24"/>
        </w:rPr>
        <w:t xml:space="preserve">. PLOS Glob Public Health. 2026 Jul 21;6(7):e0006874. doi: </w:t>
      </w:r>
    </w:p>
    <w:p w:rsidR="00330A46" w:rsidRPr="00341F54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341F54">
        <w:rPr>
          <w:rFonts w:ascii="宋体" w:eastAsia="宋体" w:hAnsi="宋体" w:cs="宋体"/>
          <w:b/>
          <w:color w:val="FF0000"/>
          <w:szCs w:val="24"/>
        </w:rPr>
        <w:t>10.1371/journal.pgph.0006874. eCollection 2026.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 mixed-method evaluation of the impact of introducing 52 digital X-ray systems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 Ghanaian health facilities on tuberculosis case finding and quality of care.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Bakker MI(1), Krugu JK(2), Mergenthaler C(1), Adusi-Poku Y(3), Amenyo RPF(3),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Adu BW(3), Afutu FK(3), Mensah M(3), Alebachew Z(3), Asambobillah R(2), Apam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B(2), Lakis C(1), Verhagen M(4), Okere N(1).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(1)KIT Royal Tropical Institute, Global Health, Amsterdam, The Netherlands.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(2)Design Health Consult Ltd, Accra, Ghana.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(3)National TB Program, Ministry of Health, Accra, Ghana.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(4)Delft Imaging, 's Hertogenbosch, The Netherlands.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Between end 2016 and early 2018, 52 digital X-ray systems were installed 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public health facilities across Ghana under the ORIO program, funded by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Dutch Ministry of Foreign Affairs and the Government of Ghana. The project aimed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to detect more people with TB by expanding access to digital radiology,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supported by training, maintenance, and project management. This evaluation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assessed the project's contribution to TB case finding, diagnostic capacity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access to TB diagnostic services between 2017 and 2022. The evaluation used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mixed-methods approach, including 21 key informants interviews from national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facility level, and 87 semi-structured interviews with TB coordinators, OPD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doctors, radiographers and X-ray clients at 26 facilities. We analyzed district-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and facility-level TB notification data (2014 - 2022), and numbers of X-rays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chest X-rays performed. The project was widely perceived to have improved access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to TB screening and diagnosis by reducing cost and distance barriers. Challenges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included a shortage of radiographers, lack of uniform screening guidelines,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poor internet connectivity. While TB notifications increased at district level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after the installation of the digital x-ray machines, increases were not seen at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facility level, suggesting machines served a regional diagnostic function.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Interviews supported this interpretation. Considerable variation in TB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notifications trends across sites was observed. Underutilization and a low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proportion of chest X-rays likely played a role. Machines were more often used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for non-chest imaging. The project strengthened the health system through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increased access to X-ray screening and diagnostic services for TB, lung-related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diseases, and other conditions. Effective and sustainable integration of digital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X-ray technology requires understanding of the operational context, robust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protocols, and addressing staff shortages and turnover. Reliable internet is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critical for real-time monitoring and optimizing machine usage to improve TB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management and expand diagnostic capabilities.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Copyright: © 2026 Bakker et al. This is an open access article distributed under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terms of the Creative Commons Attribution License, which permits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10.1371/journal.pgph.0006874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PMC13387534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42479713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41F54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6C6BF8">
        <w:rPr>
          <w:rFonts w:ascii="宋体" w:eastAsia="宋体" w:hAnsi="宋体" w:cs="宋体"/>
          <w:b/>
          <w:color w:val="FF0000"/>
          <w:szCs w:val="24"/>
        </w:rPr>
        <w:t>9</w:t>
      </w:r>
      <w:r w:rsidR="00330A46" w:rsidRPr="00341F54">
        <w:rPr>
          <w:rFonts w:ascii="宋体" w:eastAsia="宋体" w:hAnsi="宋体" w:cs="宋体"/>
          <w:b/>
          <w:color w:val="FF0000"/>
          <w:szCs w:val="24"/>
        </w:rPr>
        <w:t xml:space="preserve">. J Pediatric Infect Dis Soc. 2026 Jul 21:piag063. doi: 10.1093/jpids/piag063. </w:t>
      </w:r>
    </w:p>
    <w:p w:rsidR="00330A46" w:rsidRPr="00341F54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341F54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Potential Impact of Shortened Treatment for Nonsevere Pediatric Tuberculosis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 the State of Georgia.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Dubick C(1)(2), Kempker RR(3), Schechter MC(3)(4).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(1)Division of Pediatric Infectious Diseases, Emory University School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>Medicine, Atlanta, GA.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(2)Children's Healthcare of Atlanta, Atlanta, GA.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(3)Division of Infectious Diseases, Emory University School of Medicine,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Atlanta, GA.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(4)Geogia Department of Public Health Tuberculosis Program.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Our 15-year retrospective review of reported pediatric Tuberculosis (TB) cases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 the state of Georgia indicates that most children in our state have nonsevere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TB and implementing a four-month rifampin, isoniazid, pyrazinamide,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ethambutol-based regimen for drug-susceptible nonsevere TB would substantially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reduce the burden of directly observed therapy.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Pediatric Infectious Diseases Society. All rights reserved. For commercial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re-use, please contact reprints@oup.com for reprints and translation rights for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reprints. All other permissions can be obtained through our RightsLink service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via the Permissions link on the article page on our site—for further information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please contact journals.permissions@oup.com.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10.1093/jpids/piag063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42479675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41F54" w:rsidRDefault="006C6BF8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30</w:t>
      </w:r>
      <w:r w:rsidR="00330A46" w:rsidRPr="00341F54">
        <w:rPr>
          <w:rFonts w:ascii="宋体" w:eastAsia="宋体" w:hAnsi="宋体" w:cs="宋体"/>
          <w:b/>
          <w:color w:val="FF0000"/>
          <w:szCs w:val="24"/>
        </w:rPr>
        <w:t>. mSystems. 2026 Jul 21:e0021126. doi: 10.1128/msys</w:t>
      </w:r>
      <w:r w:rsidR="00341F54" w:rsidRPr="00341F54">
        <w:rPr>
          <w:rFonts w:ascii="宋体" w:eastAsia="宋体" w:hAnsi="宋体" w:cs="宋体"/>
          <w:b/>
          <w:color w:val="FF0000"/>
          <w:szCs w:val="24"/>
        </w:rPr>
        <w:t xml:space="preserve">tems.00211-26. Online ahead of </w:t>
      </w:r>
      <w:r w:rsidR="00330A46" w:rsidRPr="00341F54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Temperature and pH growth preferences predict the pathogenicity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environmental distributions of nontuberculous mycobacteria.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Gebert MJ(1)(2), Hasan NA(3), Pill-Kastens MR(2), Grant L(2), Hoffert M(1)(2),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Epperson LE(3), Strong M(3), Fierer N(1)(2).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(1)Department of Ecology and Evolutionary Biology, University of Colorado,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Boulder, Colorado,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(2)Cooperative Institute for Research in Environmental Sciences, University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Colorado, Boulder, Colorado,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(3)Center for Genes, Environment, and Health, National Jewish Health, Denver,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Colorado,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genus Mycobacterium is highly diverse, and in addition to Mycobacterium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tuberculosis, it includes many other pathogenic and non-pathogenic taxa which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are collectively referred to as the nontuberculous mycobacteria. Although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subset of nontuberculous mycobacteria are of known clinical significance,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specific traits that dictate pathogenicity remain largely undetermined. We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hypothesized that pathogenic nontuberculous mycobacteria are likely to have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optimal growth at low pH (~pH 4.5-5.5) and at temperatures near that of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human body (~37°C), enabling survival within human tissues. To test this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hypothesis, we measured the growth preferences of 20 strains of nontuberculous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mycobacteria, spanning the breadth of diversity across the genus, using cellular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activity as a proxy for growth in vitro. Pathogens tended to share preferences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for optimal growth at lower pH and higher temperature conditions, while those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limited or no clinical significance generally had growth optima outside a range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that would be conducive to effective growth within the human body. We then used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our in vitro measurements of pH preferences to determine if we could predict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environmental distributions of nontuberculous mycobacteria, as determined from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cultivation-independent survey of 143 soils across the United States. We show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that the measured in vitro pH preferences effectively predicted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distributions of nontuberculous mycobacteria in soil. Our work highlights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broad range in pH and temperature preferences across the genus, demonstrates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utility of these measurements for differentiating human pathogens from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non-pathogens, and describes how measured growth preferences can be used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predict the environmental distributions of nontuberculous </w:t>
      </w:r>
    </w:p>
    <w:p w:rsidR="00CC3512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mycobacteria.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>IMPORTANCE</w:t>
      </w:r>
      <w:r w:rsidR="00CC3512" w:rsidRPr="00CC3512">
        <w:rPr>
          <w:rFonts w:ascii="宋体" w:eastAsia="宋体" w:hAnsi="宋体" w:cs="宋体"/>
          <w:b/>
          <w:color w:val="000000" w:themeColor="text1"/>
          <w:szCs w:val="24"/>
        </w:rPr>
        <w:t xml:space="preserve"> 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genus Mycobacterium includes Mycobacterium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 as well as over 200 taxa collectively referred to as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nontuberculous mycobacteria (NTM). Although most nontuberculous mycobacteria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have limited clinical significance, a handful of species within the genus are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responsible for a growing number of chronic infections worldwide-yet the traits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that underlie their pathogenicity remain largely undetermined. We measured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growth preferences of 20 strains of nontuberculous mycobacteria in vitro,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finding that NTM pathogens tended to share preferences for optimal growth at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lower pH and higher temperature (similar to conditions encountered in a human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host), while those of no clinical significance generally had growth optima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outside the conditions of the human body. We then used our in vitro measurements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to show that we could predict the distributions of nontuberculous mycobacteria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 soil, an important environmental reservoir and potential source of exposure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and subsequent infection. Our work highlights not only the broad range in pH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temperature preferences across the genus, but the utility of measuring these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traits for understanding NTM pathogenicity and ultimately, advancing our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understanding of the ecology of nontuberculous mycobacteria.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10.1128/msystems.00211-26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42478856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CC3512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6C6BF8">
        <w:rPr>
          <w:rFonts w:ascii="宋体" w:eastAsia="宋体" w:hAnsi="宋体" w:cs="宋体"/>
          <w:b/>
          <w:color w:val="FF0000"/>
          <w:szCs w:val="24"/>
        </w:rPr>
        <w:t>1</w:t>
      </w:r>
      <w:r w:rsidR="00330A46" w:rsidRPr="00CC3512">
        <w:rPr>
          <w:rFonts w:ascii="宋体" w:eastAsia="宋体" w:hAnsi="宋体" w:cs="宋体"/>
          <w:b/>
          <w:color w:val="FF0000"/>
          <w:szCs w:val="24"/>
        </w:rPr>
        <w:t>. mBio. 2026 Jul 21:e0121426. doi: 10.1128/mbio.01214-26. Online ahead of 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Mycobacterium tuberculosis infection triggers IL-1β-dependent epigenetic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training in bystander macrophages.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Gulzar S-e-J(1)(2), Umar I(#)(1)(2), Saravanan B(#)(1), Sheth D(1), Najar AH(1),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Farooq U(1), Molla S(1)(2), Ravikumar A(1), Notani D(1), Sundaramurthy V(1).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(1)National Centre for Biological Sciences, Bangalore, India.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(2)SASTRA University, Thanjavur, India.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 remodels host cell functions to support its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persistence within macrophages. While infected cells have been extensively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studied, the responses of uninfected bystander macrophages in the same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microenvironment remain poorly understood. Here, we demonstrate that Mtb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infection triggers broad epigenetic and transcriptional reprogramming 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bystander macrophages, predominantly via interleukin-1β-dependent nuclear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factor-κB signaling from infected cells. These bystander cells acquire active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chromatin marks, exhibit distinct gene expression profiles, and display enhanced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responsiveness to subsequent immune challenges. Functionally, bystander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macrophages restrict intracellular Mtb growth and also show increased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responsiveness to heterologous stimuli resembling trained immunity. Our findings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uncover a previously underappreciated mechanism of intercellular communication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during infection, wherein Mtb-infected macrophages prime neighboring uninfected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cells for enhanced defense. This work defines cytokine-mediated reprogramming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both infected and bystander cell subpopulations, and identifies bystander cells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as active participants in shaping the population-wide host immune landscape.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These insights have implications for understanding innate immune memory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developing strategies to modulate host defense in tuberculosis and other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infections.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>IMPORTANCE: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This study reveals an underappreciated role for uninfected bystander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macrophages in host defense against Mycobacterium tuberculosis (Mtb). We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demonstrate that Mtb-infected macrophages trigger interleukin-1β-mediated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epigenetic training in neighboring bystander cells, priming them for enhanced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immune responses. These trained macrophages exhibit heightened antimicrobial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activity and restrict Mtb growth upon subsequent infection. By uncovering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mechanism through which immune memory-like responses propagate beyond infected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cells, our findings redefine the cellular scope of innate immunity during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 and identify new opportunities to boost host defense through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intercellular signaling and epigenetic reprogramming.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10.1128/mbio.01214-26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42478839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CC3512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6C6BF8">
        <w:rPr>
          <w:rFonts w:ascii="宋体" w:eastAsia="宋体" w:hAnsi="宋体" w:cs="宋体"/>
          <w:b/>
          <w:color w:val="FF0000"/>
          <w:szCs w:val="24"/>
        </w:rPr>
        <w:t>2</w:t>
      </w:r>
      <w:r w:rsidR="00330A46" w:rsidRPr="00CC3512">
        <w:rPr>
          <w:rFonts w:ascii="宋体" w:eastAsia="宋体" w:hAnsi="宋体" w:cs="宋体"/>
          <w:b/>
          <w:color w:val="FF0000"/>
          <w:szCs w:val="24"/>
        </w:rPr>
        <w:t>. Am J Case Rep. 2026 Jul 21;27:e953101. doi: 10.12659/AJCR.953101.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Tuberculosis in the Context of Idiopathic CD4 Lymphocytopenia: A Case Report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Literature Review.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Alwarthan SM(1)(2), Alsaid AH(2)(3), Attia AEA(2)(4)(5), Alsahlawi A(1)(2),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AlZahrani SA(2)(6), Alotaibi KG(2)(6), Al Dhneem HN(2)(6), Alwazzeh MJ(2)(6).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(1)Division of Infectious Disease, Department of Internal Medicine, King Fahad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Hospital of the University, Al Khobar, Saudi Arabia.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(2)Faculty of Medicine, Imam Abdulrahman Bin Faisal University, Dammam, Saudi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Arabia.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(3)Division of Respiratory Medicine, Department of Internal Medicine, King Fahad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Hospital of the University, Al Khobar, Saudi Arabia.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(4)Department of Intensive Care, King Fahad Hospital of the University, 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Khobar, Saudi Arabia.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(5)Department of Intensive Care and Pain Management, Ain Shams University,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Cairo, Egypt.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(6)Department of Internal Medicine, King Fahad Hospital of the University, 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Khobar, Saudi Arabia.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>BACKGROUND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Idiopathic CD4 lymphocytopenia is a rare immunodeficiency syndrome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characterized by a persistent reduction in CD4 lymphocyte count to fewer than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300 cells/µL or less than 20% of total T lymphocytes on multiple occasions. This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diagnosis is made in the absence of HIV infection or other known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immunodeficiencies. Herein, we present a case report of idiopathic CD4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lymphocytopenia in an adult patient, contributing to the limited literature 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the management challenges of this rare immunodeficiency.</w:t>
      </w:r>
      <w:r w:rsidRPr="00CC3512">
        <w:rPr>
          <w:rFonts w:ascii="宋体" w:eastAsia="宋体" w:hAnsi="宋体" w:cs="宋体"/>
          <w:b/>
          <w:color w:val="000000" w:themeColor="text1"/>
          <w:szCs w:val="24"/>
        </w:rPr>
        <w:t xml:space="preserve"> CASE REPORT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42-year-old male patient presented with shortness of breath, productive cough,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subjective fever, night sweats, and unintentional weight loss of 6 kg over 1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month. Imaging showed a loculated right-sided pleural effusion with an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air-filled cavity. The diagnosis of active pulmonary tuberculosis was confirmed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based on positive tuberculosis diagnostic tests. In addition, his complete blood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count showed marked lymphopenia; however, his human immunodeficiency virus (HIV)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result test was repeatedly negative. In the context of investigations for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lymphopenia, lymphocyte subset analysis showed a low CD4 lymphocyte count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103.8 cells/µL, in the absence of known etiologies such as other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immunodeficiencies, drug-induced leukopenia, or immunomodulatory therapy.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CD4 lymphocyte count remains below 200 cells/µL on consecutive analyses, even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after successful completion of anti-tuberculosis therapy. Consequently,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diagnosis of idiopathic CD4 lymphocytopenia with pulmonary tuberculosis as an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opportunistic infection was made. </w:t>
      </w:r>
      <w:r w:rsidRPr="00CC3512">
        <w:rPr>
          <w:rFonts w:ascii="宋体" w:eastAsia="宋体" w:hAnsi="宋体" w:cs="宋体"/>
          <w:b/>
          <w:color w:val="000000" w:themeColor="text1"/>
          <w:szCs w:val="24"/>
        </w:rPr>
        <w:t>CONCLUSIONS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This case highlights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importance of high clinical suspicion for idiopathic CD4 lymphocytopenia 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patients presenting with lymphocytopenia and a negative history of HIV/AIDS.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Further research is needed to formalize management guidelines for patients with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>idiopathic CD4 lymphocytopenia.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10.12659/AJCR.953101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PMCID: PMC13401349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</w:t>
      </w:r>
      <w:r w:rsidR="00CC3512">
        <w:rPr>
          <w:rFonts w:ascii="宋体" w:eastAsia="宋体" w:hAnsi="宋体" w:cs="宋体"/>
          <w:color w:val="000000" w:themeColor="text1"/>
          <w:szCs w:val="24"/>
        </w:rPr>
        <w:t xml:space="preserve"> 42478023 [Indexed for MEDLINE]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CC3512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6C6BF8">
        <w:rPr>
          <w:rFonts w:ascii="宋体" w:eastAsia="宋体" w:hAnsi="宋体" w:cs="宋体"/>
          <w:b/>
          <w:color w:val="FF0000"/>
          <w:szCs w:val="24"/>
        </w:rPr>
        <w:t>3</w:t>
      </w:r>
      <w:r w:rsidR="00330A46" w:rsidRPr="00CC3512">
        <w:rPr>
          <w:rFonts w:ascii="宋体" w:eastAsia="宋体" w:hAnsi="宋体" w:cs="宋体"/>
          <w:b/>
          <w:color w:val="FF0000"/>
          <w:szCs w:val="24"/>
        </w:rPr>
        <w:t xml:space="preserve">. BMC Pulm Med. 2026 Jul 20. doi: 10.1186/s12890-026-04521-7. Online ahead of </w:t>
      </w:r>
    </w:p>
    <w:p w:rsidR="00330A46" w:rsidRPr="00CC3512" w:rsidRDefault="00330A46" w:rsidP="00330A46">
      <w:pPr>
        <w:rPr>
          <w:rFonts w:ascii="宋体" w:eastAsia="宋体" w:hAnsi="宋体" w:cs="宋体"/>
          <w:b/>
          <w:color w:val="FF0000"/>
          <w:szCs w:val="24"/>
        </w:rPr>
      </w:pPr>
      <w:r w:rsidRPr="00CC3512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Characteristics and risk factors for mortality among hospitalized patients with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pulmonary tuberculosis in Shizuoka Prefecture in 2009-2020.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Kanata K(1), Shirai T(2), Kishimoto Y(2), Akamatsu T(2), Ito Y(3), Ichijo K(3),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Uehara M(3).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(1)Department of Respiratory Medicine, Shimada General Medical Center, 1200-5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Noda, Shizuoka, Shizuoka Prefecture, 427-8502, Japan.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keikanata19850829@outlook.jp.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(2)Department of Respiratory Medicine, Shizuoka General Hospital, Shizuoka,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Japan.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(3)Department of Respiratory Medicine, Shimada General Medical Center, 1200-5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Noda, Shizuoka, Shizuoka Prefecture, 427-8502, Japan.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Japan had long been a medium-burden country for tuberculosis (TB)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but became a low-burden country in 2021. Shizuoka Prefecture is geographically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located in Central Japan, and the incidence rate of TB is also at the average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level in Japan. This study aimed to understand TB patients' characteristics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risk factors by analyzing the data from 2009 to 2020 in Shizuoka Prefecture, 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representative sample for Japan.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We retrospectively collected 1,132 patients with smear-positive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pulmonary TB who were admitted to Shimada General Medical Center or Shizuoka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General Hospital in the central area of Shizuoka Prefecture from 2009 to 2020.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Patients were divided into alive and dead (i.e., all-cause in-hospital death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during anti-tuberculosis treatment) groups, and clinical parameters were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compared between the two groups.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 median age of all patients was 80. The number of patients decreased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from 2009 to 2020. Moreover, the number of patients over 70 gradually reduced,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which was similar for all patients. Immigrant TB patients were 5% of all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patients, which was very small compared to the total number of patients. Almost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all were from Southeast Asian countries. In multivariate analysis, older age,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low body mass index, respiratory failure, low serum albumin, lymphocyte, high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serum creatinine levels, and neutrophil were independent prognostic factors.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The decline in TB among elderly patients, who comprise most of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population, might be one reason why Japan has become a low-burden country.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Although the rate of immigrants is minimal, caution is needed about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increase, especially from Southeast Asian countries. There is a need for a TB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medical system that can deal with complications and malnutrition, which are risk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factors for death.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10.1186/s12890-026-04521-7</w:t>
      </w:r>
    </w:p>
    <w:p w:rsidR="00330A46" w:rsidRPr="00330A46" w:rsidRDefault="00CC3512" w:rsidP="00330A46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42477651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CC3512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6C6BF8">
        <w:rPr>
          <w:rFonts w:ascii="宋体" w:eastAsia="宋体" w:hAnsi="宋体" w:cs="宋体"/>
          <w:b/>
          <w:color w:val="FF0000"/>
          <w:szCs w:val="24"/>
        </w:rPr>
        <w:t>4</w:t>
      </w:r>
      <w:r w:rsidR="00330A46" w:rsidRPr="00CC3512">
        <w:rPr>
          <w:rFonts w:ascii="宋体" w:eastAsia="宋体" w:hAnsi="宋体" w:cs="宋体"/>
          <w:b/>
          <w:color w:val="FF0000"/>
          <w:szCs w:val="24"/>
        </w:rPr>
        <w:t>. BMC Infect Dis. 2026 Jul 20. doi: 10.1186/s1287</w:t>
      </w:r>
      <w:r w:rsidR="00CC3512">
        <w:rPr>
          <w:rFonts w:ascii="宋体" w:eastAsia="宋体" w:hAnsi="宋体" w:cs="宋体"/>
          <w:b/>
          <w:color w:val="FF0000"/>
          <w:szCs w:val="24"/>
        </w:rPr>
        <w:t xml:space="preserve">9-026-14061-4. Online ahead of </w:t>
      </w:r>
      <w:r w:rsidR="00330A46" w:rsidRPr="00CC3512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Exposure to the four first-line anti-tuberculosis drugs and treatment outcomes: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 target trial emulation study in Ghana.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Opoku-Mireku M(1)(2), Kwara A(3), Lartey MYM(4)(5), Peloquin CA(6), Amenuke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DAY(7), Twum KA(8), Nortey PA(9), Manu AA(9), Koram KA(9)(10).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(1)Department of Epidemiology and Disease Control, School of Public Health,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University of Ghana, Legon, Ghana. mmirekuopoku@gmail.com.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(2)School of Public Health and Allied Sciences, Catholic University of Ghana,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Fiapre, Ghana. mmirekuopoku@gmail.com.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(3)Department of Medicine, University of Florida College of Medicine,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Gainesville, FL,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(4)Department of Medicine, Korle Bu Teaching Hospital, Accra, Ghana.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(5)Department of Medicine and Therapeutics, University of Ghana Medical School,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Accra, Ghana.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(6)Department of Pharmacotherapy and Translational Research, University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Florida, Gainesville, FL, USA.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(7)Department of Medicine, Komfo Anokye Teaching Hospital, Kumasi, Ghana.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(8)Department of Radiology, Komfo Anokye Teaching Hospital, Kumasi, Ghana.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(9)Department of Epidemiology and Disease Control, School of Public Health,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University of Ghana, Legon, Ghana.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(10)Department of Epidemiology, Noguchi Memorial Institute for Medical Research,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University of Ghana, Legon, Ghana.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 (TB) treatment outcomes in sub-Saharan Africa remain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suboptimal despite high adherence to first-line therapy. Variability in drug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pharmacokinetics, resulting in subtherapeutic plasma concentrations, may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contribute to treatment failure and the development of resistance. This study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estimated the causal effect of subtherapeutic plasma concentrations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first-line anti-TB drugs on treatment failure or death among individuals with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drug-susceptible pulmonary TB in Ghana.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>METHODS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: We conducted a prospective cohort study of 164 adults receiving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standard WHO weight-band dosing at five Ghanaian hospitals. Peak plasma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concentrations (Cmax) of rifampicin, isoniazid, pyrazinamide, and ethambutol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were measured at months 1-2 using validated LC-MS/MS. We emulated a target trial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comparing two static strategies: (1) therapeutic Cmax of at least one first-line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drug versus (2) subtherapeutic Cmax of all four drugs. Using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clone-censor-weight approach, we estimated the per-protocol analogue risk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difference (RD) and risk ratio (RR) for treatment failure (smear positive at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months 5 or 6) or death by month 6. Models were adjusted for baseline covariates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using inverse probability of censoring weighting. Sensitivity analyses included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inverse probability weighting with regression adjustment, plain inverse </w:t>
      </w:r>
    </w:p>
    <w:p w:rsidR="00330A46" w:rsidRPr="00CC3512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color w:val="000000" w:themeColor="text1"/>
          <w:szCs w:val="24"/>
        </w:rPr>
        <w:t>probability weighting, and E-values.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Of 164 participants, 120 had complete pharmacokinetic and outcome data;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20.0% (24/120) had subtherapeutic concentrations of all four drugs. The 6-month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risk of treatment failure or death was 33.3% under the low-exposure strategy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versus 4.2% under the adequate-exposure strategy (crude RD: 29.1% points). 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weighted analyses, low drug exposure was associated with a 23.6%-point increase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 absolute risk of treatment failure or death (95% CI: 2.6-44.7; p</w:t>
      </w:r>
      <w:r w:rsidRPr="00330A46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>=</w:t>
      </w:r>
      <w:r w:rsidRPr="00330A46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0.028)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 7-fold higher relative risk (95% CI: 1.83-26.9; p</w:t>
      </w:r>
      <w:r w:rsidRPr="00330A46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>=</w:t>
      </w:r>
      <w:r w:rsidRPr="00330A46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0.004), corresponding to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approximately one additional poor outcome for every four patients with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subtherapeutic levels. Sensitivity analyses were consistent (ATE: 19.9%, 95% CI: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2.3-37.5). The E-value was 15.5 (lower bound 5.0).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Subtherapeutic exposure to all four first-line drugs was associated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with increased risk of treatment failure or death among patients who survived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into the intensive phase. Preventing multidrug subtherapeutic exposure through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therapeutic drug monitoring or optimized dosing warrants randomized evaluation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 high-burden settings.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TRIAL REGISTRATION: Clinical trial number: not applicable.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10.1186/s12879-026-14061-4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42477612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CC3512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6C6BF8">
        <w:rPr>
          <w:rFonts w:ascii="宋体" w:eastAsia="宋体" w:hAnsi="宋体" w:cs="宋体"/>
          <w:b/>
          <w:color w:val="FF0000"/>
          <w:szCs w:val="24"/>
        </w:rPr>
        <w:t>5</w:t>
      </w:r>
      <w:r w:rsidR="00330A46" w:rsidRPr="00CC3512">
        <w:rPr>
          <w:rFonts w:ascii="宋体" w:eastAsia="宋体" w:hAnsi="宋体" w:cs="宋体"/>
          <w:b/>
          <w:color w:val="FF0000"/>
          <w:szCs w:val="24"/>
        </w:rPr>
        <w:t>. Commun Dis Intell (2018). 2026 Jul 21;50. doi: 10.33321/cdi.2026.50.045.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Tuberculosis notifications in Australia, 2019-2020.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Thangarajah D(1), Waring J(2), Denholm J(3), Gonzales T(4).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(1)Public Health Division, Australian Centre for Disease Control, Canberra, ACT.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>ntac.secretariat@health.gov.au.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(2)Royal Perth Hospital, Perth, WA.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(3)Victorian Tuberculosis Program, Melbourne Health, Melbourne, VIC.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(4)Public Health Division, Australian Centre for Disease Control, Canberra, ACT.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 2020, the National Notifiable Diseases Surveillance System received 1,618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 (TB) notifications, representing a notification rate of 6.3 per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100,0000 population. In 2019, there were 1,505 TB notifications, with a rate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5.9 per 100,000 population. Australia has achieved and maintained good TB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control since the mid-1980s, sustaining a low annual TB incidence rate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approximately five to six cases per 100,000 population. The number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multi-drug-resistant TB (MDR-TB) cases notified in Australia is lower than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global rates, with approximately 2% of TB notifications per year classified as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MDR-TB. In Australia, overseas-born people represent the majority of TB cases,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accounting for 92% and 90% of TB notifications in 2020 and 2019, respectively.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 2020 and 2019, Aboriginal and Torres Strait Islander people recorded TB rates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approximately four times higher than the Australian-born non-Indigenous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population. Whilst Australia has achieved and maintained excellent control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TB, sustained effort is required to reduce local rates further, especially among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Aboriginal and Torres Strait Islander populations, and to contribute to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World Health Organization's goal to end the global TB epidemic by 2035.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 Commonwealth of Australia CC BY-NC-ND.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10.33321/cdi.2026.50.045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42475724 [Indexed for MEDLINE]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CC3512" w:rsidRDefault="006F6C83" w:rsidP="00330A4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6C6BF8">
        <w:rPr>
          <w:rFonts w:ascii="宋体" w:eastAsia="宋体" w:hAnsi="宋体" w:cs="宋体"/>
          <w:b/>
          <w:color w:val="FF0000"/>
          <w:szCs w:val="24"/>
        </w:rPr>
        <w:t>6</w:t>
      </w:r>
      <w:r w:rsidR="00330A46" w:rsidRPr="00CC3512">
        <w:rPr>
          <w:rFonts w:ascii="宋体" w:eastAsia="宋体" w:hAnsi="宋体" w:cs="宋体"/>
          <w:b/>
          <w:color w:val="FF0000"/>
          <w:szCs w:val="24"/>
        </w:rPr>
        <w:t>. Microbiol Spectr. 2026 Jul 20:e0376225. doi: 10.</w:t>
      </w:r>
      <w:r w:rsidR="00CC3512">
        <w:rPr>
          <w:rFonts w:ascii="宋体" w:eastAsia="宋体" w:hAnsi="宋体" w:cs="宋体"/>
          <w:b/>
          <w:color w:val="FF0000"/>
          <w:szCs w:val="24"/>
        </w:rPr>
        <w:t xml:space="preserve">1128/spectrum.03762-25. Online </w:t>
      </w:r>
      <w:r w:rsidR="00330A46" w:rsidRPr="00CC3512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Mycobacterium tuberculosis diversity and macrophage heterogeneity dictate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phagosomal acidification.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Chiacchiaretta M(#)(1), Sorrentino R(#)(1), Bresciani N(1), Aiello A(2), Vanini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V(2)(3), Zambrano S(4)(5), Mazza D(4)(6), Cugnata F(7), Cirillo DM(1), Agresti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A(5), Goletti D(2), Miotto P(1).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(1)Emerging Bacterial Pathogens Unit, IRCCS San Raffaele Scientific Institute,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Milano, Italy.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(2)Translational Research Unit, National Institute for Infectious Diseases-IRCCS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L. Spallanzani, Rome, Italy.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(3)Unità Operativa Semplice (UOS) Professioni Sanitarie Tecniche, National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Institute for Infectious Diseases-IRCCS L. Spallanzani, Rome, Italy.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lastRenderedPageBreak/>
        <w:t>(4)Vita-Salute San Raffaele University, Milan, Italy.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(5)Division of Genetics and Cell Biology, IRCCS San Raffaele Scientific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Institute, Milan, Italy.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(6)Experimental Imaging Center, IRCCS Ospedale San Raffaele, Milan, Italy.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(7)University Center for Statistics in the Biomedical Sciences (CUSSB),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Vita-Salute San Raffaele University, Milan, Italy.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Therapies counteracting pathogen-induced immune modulation of the host responses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represent a promising improvement for tuberculosis treatments. Despite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documented role of host immune heterogeneity and bacterial genotypic background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 determining infection outcomes, their interplay remains largely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uncharacterized. We investigated the Mycobacterium tuberculosis (MTB)-human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macrophage interaction, considering both macrophage phenotypic variability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MTB genetic diversity. Using single-cell techniques, we show how diverse MTB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lineages fine-tune phagosome acidification differently based on macrophage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phenotype (M1, M2), revealing very heterogeneous host-pathogen interactions. Our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findings underscore the multiplicity of outcomes due to the combinatorial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interplay between MTB lineages and macrophage phenotypes, which may have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implications for the proper design of host-directed therapies.IMPORTANCEThe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intricate interplay among host, pathogen, and environmental factors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significantly contributes to susceptibility and clinical presentation of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tuberculosis. These multifaceted mechanisms are often overlooked in tuberculosis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studies, hindering our comprehensive understanding of infection progression and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impeding the development of effective host-directed therapies, which offer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benefits such as reduced drug resistance emergence and heightened host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compatibility. Contrary to the prevailing hypothesis, the results observed in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this study demonstrate the nuanced response of different M. tuberculosis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lineages within distinct macrophage phenotypes in terms of phagosome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acidification. The findings of our investigation delineate a crucial yet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under-characterized aspect of tuberculosis pathogenesis, emphasizing how the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interactions between different M. tuberculosis lineages and macrophage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phenotypes could significantly influence the efficacy of host-directed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therapies, particularly those targeting phagolysosomal maturation. More broadly,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 xml:space="preserve">recognizing the impact of both M. tuberculosis and macrophage heterogeneity is 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paramount in the development of effective strategies to combat tuberculosis.</w:t>
      </w: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330A46" w:rsidRP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DOI: 10.1128/spectrum.03762-25</w:t>
      </w:r>
    </w:p>
    <w:p w:rsidR="001D4AFF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  <w:r w:rsidRPr="00330A46">
        <w:rPr>
          <w:rFonts w:ascii="宋体" w:eastAsia="宋体" w:hAnsi="宋体" w:cs="宋体"/>
          <w:color w:val="000000" w:themeColor="text1"/>
          <w:szCs w:val="24"/>
        </w:rPr>
        <w:t>PMID: 42474179</w:t>
      </w:r>
    </w:p>
    <w:p w:rsidR="00330A46" w:rsidRDefault="00330A46" w:rsidP="00330A46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CC3512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6C6BF8">
        <w:rPr>
          <w:rFonts w:ascii="宋体" w:eastAsia="宋体" w:hAnsi="宋体" w:cs="宋体"/>
          <w:b/>
          <w:color w:val="FF0000"/>
          <w:szCs w:val="24"/>
        </w:rPr>
        <w:t>7</w:t>
      </w:r>
      <w:r w:rsidR="00DD4343" w:rsidRPr="00CC3512">
        <w:rPr>
          <w:rFonts w:ascii="宋体" w:eastAsia="宋体" w:hAnsi="宋体" w:cs="宋体"/>
          <w:b/>
          <w:color w:val="FF0000"/>
          <w:szCs w:val="24"/>
        </w:rPr>
        <w:t>. Radiol Case Rep. 2026 Jul 17;21(10):4555-4559. doi</w:t>
      </w:r>
      <w:r w:rsidR="00CC3512">
        <w:rPr>
          <w:rFonts w:ascii="宋体" w:eastAsia="宋体" w:hAnsi="宋体" w:cs="宋体"/>
          <w:b/>
          <w:color w:val="FF0000"/>
          <w:szCs w:val="24"/>
        </w:rPr>
        <w:t xml:space="preserve">: 10.1016/j.radcr.2026.06.137. </w:t>
      </w:r>
      <w:r w:rsidR="00DD4343" w:rsidRPr="00CC3512">
        <w:rPr>
          <w:rFonts w:ascii="宋体" w:eastAsia="宋体" w:hAnsi="宋体" w:cs="宋体"/>
          <w:b/>
          <w:color w:val="FF0000"/>
          <w:szCs w:val="24"/>
        </w:rPr>
        <w:t>eCollection 2026 Oct.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Multifocal skeletal tuberculosis with posterior-element spinal, sternal,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pelvic involvement presenting as a pulmonary mass: A malignancy mimic.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Nalla S(1), Patil PS(1).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(1)Department of Radiodiagnosis, Aster Prime Hospital, Hyderabad,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Multifocal skeletal tuberculosis is an uncommon manifestation of osteoarticular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tuberculosis characterized by noncontiguous involvement of multiple skeletal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sites. When associated with a mass-like pulmonary lesion, it may closely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simulate disseminated malignancy. We report a 26-year-old immunocompetent male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presenting with progressive neck stiffness, fever, cough, weight loss,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dysphagia. Imaging demonstrated a large right upper lobe mass with internal air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bronchograms and associated centrilobular tree-in-bud nodules, along with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multifocal destructive lesions involving the cervical, thoracic, and lumbar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spine, sternum, sacroiliac joint, and pelvic bones. Extensive posterior-element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involvement was present, with associated prevertebral, paraspinal, and epidural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soft-tissue collections resulting in early spinal cord compression. Laboratory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evaluation revealed elevated inflammatory markers, a strongly positive Mantoux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test, and negative HIV serology. Bronchoalveolar lavage was negative for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malignancy and acid-fast bacilli. Histopathological examination of a CT-guided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biopsy demonstrated granulomatous inflammation with Langhans-type giant cells,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while GeneXpert MTB detected Mycobacterium tuberculosis, confirming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diagnosis. The constellation of a pulmonary mass and multifocal destructive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skeletal lesions initially raised strong suspicion for disseminated metastatic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disease. This case highlights an uncommon radiologic phenotype of tuberculosis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that closely mimics malignancy and underscores the importance of maintaining 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high index of suspicion and obtaining early tissue diagnosis to facilitate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appropriate management.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10.1016/j.radcr.2026.06.137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PMC13400341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42502794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CC3512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6C6BF8">
        <w:rPr>
          <w:rFonts w:ascii="宋体" w:eastAsia="宋体" w:hAnsi="宋体" w:cs="宋体"/>
          <w:b/>
          <w:color w:val="FF0000"/>
          <w:szCs w:val="24"/>
        </w:rPr>
        <w:t>8</w:t>
      </w:r>
      <w:r w:rsidR="00DD4343" w:rsidRPr="00CC3512">
        <w:rPr>
          <w:rFonts w:ascii="宋体" w:eastAsia="宋体" w:hAnsi="宋体" w:cs="宋体"/>
          <w:b/>
          <w:color w:val="FF0000"/>
          <w:szCs w:val="24"/>
        </w:rPr>
        <w:t xml:space="preserve">. J Clin Tuberc Other Mycobact Dis. 2026 Jul 14;44:100633. doi: </w:t>
      </w:r>
    </w:p>
    <w:p w:rsidR="00DD4343" w:rsidRPr="00CC3512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CC3512">
        <w:rPr>
          <w:rFonts w:ascii="宋体" w:eastAsia="宋体" w:hAnsi="宋体" w:cs="宋体"/>
          <w:b/>
          <w:color w:val="FF0000"/>
          <w:szCs w:val="24"/>
        </w:rPr>
        <w:t>10.1016/j.jctube.2026.100633. eCollection 2026 Aug.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Tuberculin responsiveness as a surrogate prognostic marker in hospitalized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HIV-infected patients with tuberculosis in a resource-limited setting.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Yanamadala MK(1).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(1)Consultant Physician, HIV and Infectious Diseases Specialty Medical Centre,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Lakshmi Vaidyasala, Kakinada 533001, Andhra Pradesh,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In resource-limited settings, access to CD4 lymphocyte counts for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prognostication in HIV-associated tuberculosis (HIV-TB) remains limited.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Tuberculin skin test (TST) reactivity reflects cell-mediated immunity and may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serve as a simple surrogate prognostic marker. This study evaluated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association between tuberculin responsiveness and clinical outcomes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hospitalized HIV-infected patients with pulmonary tuberculosis.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 xml:space="preserve">MATERIALS AND METHODS: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 hospital-based observational cohort study was conducted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among 107 HIV-positive adults admitted with pulmonary tuberculosis. Tuberculin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reactivity was assessed using the Mantoux method with 10 TU purified protein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derivative. Nutritional status was assessed using body mass index (BMI).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primary outcome was clinical status at hospital discharge. A parallel cohort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100 HIV-negative pulmonary tuberculosis patients was evaluated using identical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methods.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Among HIV-positive patients, 33 (30.8%) demonstrated TST induration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&gt;10 mm; all had mild-moderate undernutrition and were discharged alive within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six weeks. Twenty-six patients (24.3%) had induration 5-10 mm; all were severely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undernourished, with 23.1% mortality. Forty-eight patients (44.9%) were anergic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or had induration &lt;5 mm; 62.5% died and 25.0% left moribund. Increasing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induration showed a graded inverse association with mortality (p &lt; 0.001).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HIV-negative patients demonstrated substantially lower overall mortality (3% vs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33.6%). While preserved TST reactivity (&gt;10 mm) predicted 100% survival in both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groups, anergy carried dramatically different implications: 5.7% mortality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HIV-negative versus 62.5% in HIV-positive patients.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Tuberculin reactivity demonstrated a strong, HIV-specific graded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association with outcomes. TST may retain adjunctive prognostic value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resource-limited settings where advanced immunological testing is unavailable.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2026 The Author.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10.1016/j.jctube.2026.100633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PMC13401016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42502620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CC3512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6C6BF8">
        <w:rPr>
          <w:rFonts w:ascii="宋体" w:eastAsia="宋体" w:hAnsi="宋体" w:cs="宋体"/>
          <w:b/>
          <w:color w:val="FF0000"/>
          <w:szCs w:val="24"/>
        </w:rPr>
        <w:t>9</w:t>
      </w:r>
      <w:r w:rsidR="00DD4343" w:rsidRPr="00CC3512">
        <w:rPr>
          <w:rFonts w:ascii="宋体" w:eastAsia="宋体" w:hAnsi="宋体" w:cs="宋体"/>
          <w:b/>
          <w:color w:val="FF0000"/>
          <w:szCs w:val="24"/>
        </w:rPr>
        <w:t>. Cureus. 2026 Jun 25;18(6):e111487. doi: 10.7759/c</w:t>
      </w:r>
      <w:r w:rsidR="00CC3512" w:rsidRPr="00CC3512">
        <w:rPr>
          <w:rFonts w:ascii="宋体" w:eastAsia="宋体" w:hAnsi="宋体" w:cs="宋体"/>
          <w:b/>
          <w:color w:val="FF0000"/>
          <w:szCs w:val="24"/>
        </w:rPr>
        <w:t xml:space="preserve">ureus.111487. eCollection 2026 </w:t>
      </w:r>
      <w:r w:rsidR="00DD4343" w:rsidRPr="00CC3512">
        <w:rPr>
          <w:rFonts w:ascii="宋体" w:eastAsia="宋体" w:hAnsi="宋体" w:cs="宋体"/>
          <w:b/>
          <w:color w:val="FF0000"/>
          <w:szCs w:val="24"/>
        </w:rPr>
        <w:t>Jun.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Fatal Tuberculous Meningitis With Hydrocephalus and SIADH (Syndrome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Inappropriate Antidiuretic Hormone Secretion) in an Immunocompetent Adult With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Miliary Tuberculosis: Diagnostic Challenges Associated With Language Barriers.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Banerjee P(1).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(1)General Internal Medicine, Hull University Teaching Hospital, Scunthorpe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General Hospital, Hull, GBR.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Tuberculous meningitis is a severe manifestation of disseminated tuberculosis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associated with high morbidity and mortality. I report the case of a 30-year-old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previously healthy immunocompetent immigrant who initially presented with fever,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malaise, and rhinorrhoea. A significant language barrier limited history-taking,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contributing to diagnostic delay. His condition rapidly progressed to acute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hydrocephalus and syndrome of inappropriate antidiuretic hormone secretion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(SIADH) in the context of concomitant miliary pulmonary tuberculosis. Despite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prompt initiation of anti-tubercular therapy, high-dose corticosteroids,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neurosurgical intervention, his neurological status deteriorated, and 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succumbed within a short period. This case highlights the importance of early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recognition of tuberculous meningitis and its potentially life-threatening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complications, particularly among patients from tuberculosis-endemic regions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where the disease remains prevalent. It also underscores how communication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barriers in healthcare may delay diagnosis and worsen outcomes, especially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countries like the United Kingdom, where tuberculosis is relatively uncommon.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2026, Banerjee et al.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10.7759/cureus.111487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PMC13401427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42502561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CC3512" w:rsidRDefault="006C6BF8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40</w:t>
      </w:r>
      <w:r w:rsidR="00DD4343" w:rsidRPr="00CC3512">
        <w:rPr>
          <w:rFonts w:ascii="宋体" w:eastAsia="宋体" w:hAnsi="宋体" w:cs="宋体"/>
          <w:b/>
          <w:color w:val="FF0000"/>
          <w:szCs w:val="24"/>
        </w:rPr>
        <w:t xml:space="preserve">. Tuberculosis (Edinb). 2026 Jul 9;160:102795. doi: 10.1016/j.tube.2026.102795. </w:t>
      </w:r>
    </w:p>
    <w:p w:rsidR="00DD4343" w:rsidRPr="00CC3512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CC3512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Multiparametric flow cytometry immune profiling of pulmonary and extra-pulmonary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tuberculosis reveals distinct blood-based biomarker signatures.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Ellappan K(1), Joseph NM(2), Narasimhan PB(3), Garlant HN(4), Vasan S(5), Jain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K(6), Kumar SV(7), Govindaraj V(7), Negi VS(3), Kempsell KE(8).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(1)Department of Microbiology, Jawaharlal Institute of Postgraduate Medical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Education and Research, Puducherry,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(2)Department of Microbiology, Jawaharlal Institute of Postgraduate Medical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Education and Research, Puducherry, India. Electronic address: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noyal.c@gmail.com.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(3)Department of Clinical Immunology, Jawaharlal Institute of Postgraduate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Medical Education and Research, Puducherry,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(4)CSO Group - Countermeasures Development, Evaluation and Preparedness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Division, UK Health Security Agency, Salisbury, United Kingdom.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(5)Edith Cowan University, School of Medical and Health Sciences, Joondalup, WA,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6027, Australia.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(6)Department of Preventive and Social Medicine, Jawaharlal Institute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Postgraduate Medical Education and Research, Puducherry,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(7)Department of Pulmonary Medicine, Jawaharlal Institute of Postgraduate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Medical Education and Research, Puducherry,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(8)CSO Group - Countermeasures Development, Evaluation and Preparedness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Division, UK Health Security Agency, Salisbury, United Kingdom. Electronic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address: Karen.Kempsell@ukhsa.gov.uk.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This study investigated immune cell distributions, cell-specific immune markers,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selected biomarker targets in pulmonary tuberculosis (PTB)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extrapulmonary tuberculosis (EPTB) using multiparametric flow cytometry (MFC).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Whole blood was collected from 45 individuals, including healthy controls (HC),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EPTB, and PTB patients (n</w:t>
      </w:r>
      <w:r w:rsidRPr="00DD434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D4343">
        <w:rPr>
          <w:rFonts w:ascii="宋体" w:eastAsia="宋体" w:hAnsi="宋体" w:cs="宋体"/>
          <w:color w:val="000000" w:themeColor="text1"/>
          <w:szCs w:val="24"/>
        </w:rPr>
        <w:t>=</w:t>
      </w:r>
      <w:r w:rsidRPr="00DD434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15/group). Peripheral blood leukocytes were analysed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by MFC to characterize CD4+ and CD8+ T cells, natural killer (NK), invariant NKT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(iNKT) and NKT cells, classical (CM), intermediate (IM) and non-classical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monocytes (NCM), and activated monocytes (AM). Expression of GBP1, CALCOCO2,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IFIT3, SNX10, ARG1, PD-1, and PD-L1 was assessed across these immune subsets.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Increased frequencies of NK, NKT, and monocytes were observed in PTB and EPTB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compared with HC, while CD4+, CD8+, iNKT, and AM were reduced.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Monocyte-to-lymphocyte ratios were incrementally elevated in EPTB and PTB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compared with HC. Despite variability of expression within groups, median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biomarker fold-change expression changes were found between HC, EPTB and PTB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groups; (i) (&gt;2.0FC) for ARG1 in CD4, CD8, CM and AM, for CALCOCO2 in AM, GBP1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 CD8 and NCM, PD-1 in CD4, CD8, NK, IM and AM, PD-L1 in CD4, CD8, iNKT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NKT, NK, IM and AM and SNX10 in CD4, CD8, NCM, IM and AM (ii) (&lt;2.0FC) in TB vs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HC for CALCOCO2 in iNKT and NKT, IFIT3 in NCM, PD-1 in NK and NCM, PD-L1 in NCM,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IM and AM and SNX10 in AM. Statistical significance was achieved for ARG1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(P</w:t>
      </w:r>
      <w:r w:rsidRPr="00DD434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D4343">
        <w:rPr>
          <w:rFonts w:ascii="宋体" w:eastAsia="宋体" w:hAnsi="宋体" w:cs="宋体"/>
          <w:color w:val="000000" w:themeColor="text1"/>
          <w:szCs w:val="24"/>
        </w:rPr>
        <w:t>=</w:t>
      </w:r>
      <w:r w:rsidRPr="00DD434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0.017) in CD4 cells. Our findings highlight distinct immune cell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biomarker signatures in PTB and EPTB.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Copyright © 2026 UK Health Security Agency. Published by Elsevier Ltd.. All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rights reserved.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10.1016/j.tube.2026.102795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42501466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CC3512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6C6BF8">
        <w:rPr>
          <w:rFonts w:ascii="宋体" w:eastAsia="宋体" w:hAnsi="宋体" w:cs="宋体"/>
          <w:b/>
          <w:color w:val="FF0000"/>
          <w:szCs w:val="24"/>
        </w:rPr>
        <w:t>1</w:t>
      </w:r>
      <w:r w:rsidR="00DD4343" w:rsidRPr="00CC3512">
        <w:rPr>
          <w:rFonts w:ascii="宋体" w:eastAsia="宋体" w:hAnsi="宋体" w:cs="宋体"/>
          <w:b/>
          <w:color w:val="FF0000"/>
          <w:szCs w:val="24"/>
        </w:rPr>
        <w:t xml:space="preserve">. J Clin Tuberc Other Mycobact Dis. 2026 Jul 16;44:100631. doi: </w:t>
      </w:r>
    </w:p>
    <w:p w:rsidR="00DD4343" w:rsidRPr="00CC3512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CC3512">
        <w:rPr>
          <w:rFonts w:ascii="宋体" w:eastAsia="宋体" w:hAnsi="宋体" w:cs="宋体"/>
          <w:b/>
          <w:color w:val="FF0000"/>
          <w:szCs w:val="24"/>
        </w:rPr>
        <w:t>10.1016/j.jctube.2026.100631. eCollection 2026 Aug.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Key risk factors for pulmonary vs. extrapulmonary tuberculosis: a comparative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study in Southwest Ethiopia.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Weyesa JB(1)(2), Legesse M(2), Gumi B(2), Zewude A(3), Ameni G(4).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(1)College of Medicine and Health Sciences, Mizan-Tepi University, Mizan-Teferi,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Ethiopia.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(2)AL-IHR, Addis Ababa University, Addis Ababa, Ethiopia.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(3)Institute of Public Health, College of Medicine and Health Sciences, United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Arab Emirates University, Al Ain, United Arab Emirates.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(4)Department of Veterinary Medicine, College of Agriculture and Veterinary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Medicine (CAVM), Al Ain, United Arab Emirates.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CC3512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 intricate interplay of biological factors, living conditions,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behaviors, co-morbidities like diabetes and HIV influences tuberculosis (TB)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risk. In this study, those critical factors were identified to address gaps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understanding and improve prevention strategies.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A cross-sectional study was conducted across three zones to identify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key risk factors for active TB. Diagnosis was based on smear microscopy,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GeneXpert, clinical evaluation, and X-ray findings. A multistage sampling method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was used, with a target of 384 participants from each zone, but due 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inconsistencies, 410 were consecutively enrolled: 358 (87.3%) from Bench-Sheko,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23 (5.6%) from Sheka, and 29 (7.1%) from Kaffa.Data were collected through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structured interviews and record reviews from December 2018 to June 2020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analyzed using Stata.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 study included 410 TB patients (55% male, mean age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27.7 ± 11.4 yrs.). Most (99.3%) were newly diagnosed, with PTB (80%), EPTB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(19.3%), and both (0.7%). Concrete housing raised PTB (OR = 37.92) and lowered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EPTB (OR = 0.03). Corrugated housing raised PTB (OR = 2.04) and lowered EPTB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(OR = 0.491). Houses with 1-3 windows lowered PTB, raised EPTB. Separate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bedrooms raised PTB (24.2%) and lowered EPTB (19.5%). Charcoal use lowered PTB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(81.4%) and raised EPTB (OR = 5.39). Gas, electricity, and cohabitation reduced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PTB odds (OR = 0.40, OR = 0.05, OR = 0.450) but i</w:t>
      </w:r>
      <w:r w:rsidR="00BA20C9">
        <w:rPr>
          <w:rFonts w:ascii="宋体" w:eastAsia="宋体" w:hAnsi="宋体" w:cs="宋体"/>
          <w:color w:val="000000" w:themeColor="text1"/>
          <w:szCs w:val="24"/>
        </w:rPr>
        <w:t xml:space="preserve">ncreased EPTB odds (OR = 2.50, </w:t>
      </w:r>
      <w:r w:rsidRPr="00DD4343">
        <w:rPr>
          <w:rFonts w:ascii="宋体" w:eastAsia="宋体" w:hAnsi="宋体" w:cs="宋体"/>
          <w:color w:val="000000" w:themeColor="text1"/>
          <w:szCs w:val="24"/>
        </w:rPr>
        <w:t>OR = 21.1, OR = 2.22, respectively). Raw milk re</w:t>
      </w:r>
      <w:r w:rsidR="00BA20C9">
        <w:rPr>
          <w:rFonts w:ascii="宋体" w:eastAsia="宋体" w:hAnsi="宋体" w:cs="宋体"/>
          <w:color w:val="000000" w:themeColor="text1"/>
          <w:szCs w:val="24"/>
        </w:rPr>
        <w:t xml:space="preserve">duced PTB odds (OR = 0.51) and </w:t>
      </w:r>
      <w:r w:rsidRPr="00DD4343">
        <w:rPr>
          <w:rFonts w:ascii="宋体" w:eastAsia="宋体" w:hAnsi="宋体" w:cs="宋体"/>
          <w:color w:val="000000" w:themeColor="text1"/>
          <w:szCs w:val="24"/>
        </w:rPr>
        <w:t>increased EPTB odds (OR = 1.96, both p = 0.02). Alcohol raised PTB odd</w:t>
      </w:r>
      <w:r w:rsidR="00BA20C9">
        <w:rPr>
          <w:rFonts w:ascii="宋体" w:eastAsia="宋体" w:hAnsi="宋体" w:cs="宋体"/>
          <w:color w:val="000000" w:themeColor="text1"/>
          <w:szCs w:val="24"/>
        </w:rPr>
        <w:t xml:space="preserve">s </w:t>
      </w:r>
      <w:r w:rsidRPr="00DD4343">
        <w:rPr>
          <w:rFonts w:ascii="宋体" w:eastAsia="宋体" w:hAnsi="宋体" w:cs="宋体"/>
          <w:color w:val="000000" w:themeColor="text1"/>
          <w:szCs w:val="24"/>
        </w:rPr>
        <w:t>(OR = 4.44, p = 0.00) and lowered EPTB odds (OR =</w:t>
      </w:r>
      <w:r w:rsidR="00BA20C9">
        <w:rPr>
          <w:rFonts w:ascii="宋体" w:eastAsia="宋体" w:hAnsi="宋体" w:cs="宋体"/>
          <w:color w:val="000000" w:themeColor="text1"/>
          <w:szCs w:val="24"/>
        </w:rPr>
        <w:t xml:space="preserve"> 0.23, p = 0.00). Awareness of </w:t>
      </w:r>
      <w:r w:rsidRPr="00DD4343">
        <w:rPr>
          <w:rFonts w:ascii="宋体" w:eastAsia="宋体" w:hAnsi="宋体" w:cs="宋体"/>
          <w:color w:val="000000" w:themeColor="text1"/>
          <w:szCs w:val="24"/>
        </w:rPr>
        <w:t>transmission increased PTB odds (OR = 2.72, p</w:t>
      </w:r>
      <w:r w:rsidR="00BA20C9">
        <w:rPr>
          <w:rFonts w:ascii="宋体" w:eastAsia="宋体" w:hAnsi="宋体" w:cs="宋体"/>
          <w:color w:val="000000" w:themeColor="text1"/>
          <w:szCs w:val="24"/>
        </w:rPr>
        <w:t xml:space="preserve"> = 0.05) and reduced EPTB odds </w:t>
      </w:r>
      <w:r w:rsidRPr="00DD4343">
        <w:rPr>
          <w:rFonts w:ascii="宋体" w:eastAsia="宋体" w:hAnsi="宋体" w:cs="宋体"/>
          <w:color w:val="000000" w:themeColor="text1"/>
          <w:szCs w:val="24"/>
        </w:rPr>
        <w:t>(OR = 0.37, p = 0.05). HIV/AIDS increased PTB odd</w:t>
      </w:r>
      <w:r w:rsidR="00BA20C9">
        <w:rPr>
          <w:rFonts w:ascii="宋体" w:eastAsia="宋体" w:hAnsi="宋体" w:cs="宋体"/>
          <w:color w:val="000000" w:themeColor="text1"/>
          <w:szCs w:val="24"/>
        </w:rPr>
        <w:t xml:space="preserve">s (OR = 1.78) and reduced EPTB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odds (OR = 0.56). Coinfections raised PTB odds </w:t>
      </w:r>
      <w:r w:rsidR="00BA20C9">
        <w:rPr>
          <w:rFonts w:ascii="宋体" w:eastAsia="宋体" w:hAnsi="宋体" w:cs="宋体"/>
          <w:color w:val="000000" w:themeColor="text1"/>
          <w:szCs w:val="24"/>
        </w:rPr>
        <w:t xml:space="preserve">(OR = 1.36), lowered EPTB odds </w:t>
      </w:r>
      <w:r w:rsidRPr="00DD4343">
        <w:rPr>
          <w:rFonts w:ascii="宋体" w:eastAsia="宋体" w:hAnsi="宋体" w:cs="宋体"/>
          <w:color w:val="000000" w:themeColor="text1"/>
          <w:szCs w:val="24"/>
        </w:rPr>
        <w:t>(OR = 0.73).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The findings revealed that housing, environment, and lifestyle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influenced PTB and EPTB risks, with mixed and contrasting effects, highlighting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the need for targeted interventions.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2026 The Author(s). Published by Elsevier Ltd.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10.1016/j.jctube.2026.100631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PMC13396933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42500745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BA20C9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6C6BF8">
        <w:rPr>
          <w:rFonts w:ascii="宋体" w:eastAsia="宋体" w:hAnsi="宋体" w:cs="宋体"/>
          <w:b/>
          <w:color w:val="FF0000"/>
          <w:szCs w:val="24"/>
        </w:rPr>
        <w:t>2</w:t>
      </w:r>
      <w:r w:rsidR="00DD4343" w:rsidRPr="00BA20C9">
        <w:rPr>
          <w:rFonts w:ascii="宋体" w:eastAsia="宋体" w:hAnsi="宋体" w:cs="宋体"/>
          <w:b/>
          <w:color w:val="FF0000"/>
          <w:szCs w:val="24"/>
        </w:rPr>
        <w:t>. Indian J Anaesth. 2026 Jul;70(7):880-882. doi: 10.</w:t>
      </w:r>
      <w:r w:rsidR="00BA20C9" w:rsidRPr="00BA20C9">
        <w:rPr>
          <w:rFonts w:ascii="宋体" w:eastAsia="宋体" w:hAnsi="宋体" w:cs="宋体"/>
          <w:b/>
          <w:color w:val="FF0000"/>
          <w:szCs w:val="24"/>
        </w:rPr>
        <w:t xml:space="preserve">4103/ija.ija_522_26. Epub 2026 </w:t>
      </w:r>
      <w:r w:rsidR="00DD4343" w:rsidRPr="00BA20C9">
        <w:rPr>
          <w:rFonts w:ascii="宋体" w:eastAsia="宋体" w:hAnsi="宋体" w:cs="宋体"/>
          <w:b/>
          <w:color w:val="FF0000"/>
          <w:szCs w:val="24"/>
        </w:rPr>
        <w:t>Jul 21.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Life-threatening endobronchial clot in pregnancy with tuberculosis: Role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early bronchoscopy intervention.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Salhotra R(1), Gulati S(2), Agarwal D(1), Jain A(3).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(1)Department of Anaesthesiology, University College of Medical Sciences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Guru Teg Bahadur Hospital, Dilshad Garden, Delhi,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(2)Department of Anaesthesiology, Rajiv Gandhi Cancer Institute and Research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Centre, Rohini, Delhi,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(3)Department of Anaesthesiology, Jyoti Hospital, Muzaffarnagar, Uttar Pradesh,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10.4103/ija.ija_522_26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PMC13399207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42500641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BA20C9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6C6BF8">
        <w:rPr>
          <w:rFonts w:ascii="宋体" w:eastAsia="宋体" w:hAnsi="宋体" w:cs="宋体"/>
          <w:b/>
          <w:color w:val="FF0000"/>
          <w:szCs w:val="24"/>
        </w:rPr>
        <w:t>3</w:t>
      </w:r>
      <w:r w:rsidR="00DD4343" w:rsidRPr="00BA20C9">
        <w:rPr>
          <w:rFonts w:ascii="宋体" w:eastAsia="宋体" w:hAnsi="宋体" w:cs="宋体"/>
          <w:b/>
          <w:color w:val="FF0000"/>
          <w:szCs w:val="24"/>
        </w:rPr>
        <w:t xml:space="preserve">. Open Forum Infect Dis. 2026 Jul 16;13(7):ofag434. doi: 10.1093/ofid/ofag434. </w:t>
      </w:r>
    </w:p>
    <w:p w:rsidR="00DD4343" w:rsidRPr="00BA20C9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BA20C9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DD4343" w:rsidRPr="00BA20C9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 Impact of Directly Observed Therapy on Successful Tuberculosis Treatment: 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Statistical Analysis of National Notifications Data.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Thompson RR(1), Ryuk DK(2), Pelissari DM(3), Harada LO(3), de Barros Silva JN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Jr(4), Bartholomay P(3), Johansen FDC(3), Sanchez M(5), Cohen T(6), Castro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MC(1), Menzies NA(1).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(1)Department of Global Health and Population, Harvard TH Chan School of Public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Health, Boston, Massachusetts,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(2)Department of Preventive Medicine, Seoul National University College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Medicine, Seoul, Republic of Korea.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(3)Health and Environment Surveillance Secretariat, Ministry of Health,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Brasília, Brazil.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(4)Institute of Scientific and Technological Communication and Information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Health, Oswaldo Cruz Foundation, Rio de Janeiro, Brazil.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(5)Núcleo de Medicina Tropical, University of Brasília, Brasília, Brazil.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(6)Department of Epidemiology of Microbial Diseases, Yale School of Public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Health, New Haven, Connecticut,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Directly Observed Therapy (DOT) is a recommended modality for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tuberculosis (TB) treatment, yet is underutilized in many settings. Although DOT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has been evaluated in clinical trials, less is known about its effectiveness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routine programs. We estimated the contribution of DOT to TB treatment success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 Brazil.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Using data from Brazil's National Disease Notification System for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2015-2018, we fit regression models estimating the relationship between DOT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coverage and individual treatment success, leveraging municipality-level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variation in DOT usage to avoid confounding due to nonrandom DOT receipt at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individual level. Models were adjusted for demographic and clinical covariates,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using generalized estimating equations to account for correlation of outcomes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within municipalities. Fitted models were used to project the impact of expanded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DOT coverage, with robustness tested using alternative specifications.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The study included 278 007 individuals from 4783 municipalities.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Average DOT coverage was 45.3%, with significant geographic variability.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Treatment success was 86.9% with DOT and 73.2% without DOT. DOT coverage was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associated with a 1.46 (95% confidence interval: 1.38, 1.55) odds ratio (OR)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treatment success. ORs ranged from 1.11 to 2.52 under alternative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specifications, consistently indicating a positive impact. Scenario analyses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indicated that reducing DOT nonutilization in each municipality by 50% would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reduce the proportion of unsuccessful treatment outcomes by 7.1% (6.1, 8.2),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equivalent to an average 5.5 (4.7, 6.3) percentage point increase in success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probability for individuals newly receiving DOT.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In this routine programmatic setting, higher DOT utilization was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associated with better treatment outcomes, underscoring the importance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adherence-supported interventions for TB care.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Infectious Diseases Society of America.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10.1093/ofid/ofag434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PMC13397121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42500123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BA20C9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6C6BF8">
        <w:rPr>
          <w:rFonts w:ascii="宋体" w:eastAsia="宋体" w:hAnsi="宋体" w:cs="宋体"/>
          <w:b/>
          <w:color w:val="FF0000"/>
          <w:szCs w:val="24"/>
        </w:rPr>
        <w:t>4</w:t>
      </w:r>
      <w:r w:rsidR="00DD4343" w:rsidRPr="00BA20C9">
        <w:rPr>
          <w:rFonts w:ascii="宋体" w:eastAsia="宋体" w:hAnsi="宋体" w:cs="宋体"/>
          <w:b/>
          <w:color w:val="FF0000"/>
          <w:szCs w:val="24"/>
        </w:rPr>
        <w:t xml:space="preserve">. Front Public Health. 2026 Jul 10;14:1873438. doi: 10.3389/fpubh.2026.1873438. </w:t>
      </w:r>
    </w:p>
    <w:p w:rsidR="00DD4343" w:rsidRPr="00BA20C9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BA20C9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Association between laboratory-based frailty index and unfavorable treatment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outcomes in older adults with drug-susceptible pulmonary tuberculosis in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Republic of Korea: a retrospective cohort study.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Park TE(1)(2), Woo HJ(3)(4), Choe YH(5), Kim MG(4)(6)(7)(8).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(1)Department of Pharmacology, Graduate School, Jeonbuk National University,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Jeonju, Republic of Korea.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(2)College of Pharmacy, Woosuk University, Wanju, Republic of Korea.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(3)Clinical Trial Center, Jeonbuk National University Hospital, Jeonju, Republic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of Korea.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(4)Nanum Space Co. Ltd, Jeonju, Republic of Korea.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(5)Department of Internal Medicine, Jeonbuk National University Hospital,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Jeonju, Republic of Korea.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(6)Research Institute of Clinical Medicine of Jeonbuk National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University-Biomedical Research Institute of Jeonbuk National University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Hospital, Jeonju, Republic of Korea.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(7)Center for Clinical Pharmacology, Jeonbuk National University Hospital,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Jeonju, Republic of Korea.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(8)Department of Pharmacology, School of Medicine, Jeonbuk National University,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Jeonju, Republic of Korea.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Older adults with drug-susceptible pulmonary tuberculosis (DS-PTB)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face disproportionately poor treatment outcomes, but practical tools for risk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stratification around the time of treatment initiation remain limited.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This retrospective cohort study evaluated the association between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laboratory-based frailty index (FI-Lab) and unfavorable treatment outcomes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adults aged </w:t>
      </w:r>
      <w:r w:rsidRPr="00DD4343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DD4343">
        <w:rPr>
          <w:rFonts w:ascii="宋体" w:eastAsia="宋体" w:hAnsi="宋体" w:cs="宋体"/>
          <w:color w:val="000000" w:themeColor="text1"/>
          <w:szCs w:val="24"/>
        </w:rPr>
        <w:t>65</w:t>
      </w:r>
      <w:r w:rsidRPr="00DD434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years with DS-PTB, who were treated between January 1, 2015,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December 31, 2024, at a tertiary academic medical center in the Republic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Korea. The FI-Lab score was derived from routine blood tests collected within 60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days before to 7 days after treatment initiation, and the primary outcome was 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composite of death during treatment, treatment failure, or treatment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discontinuation.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Among 627 patients, 119 (19%) experienced an unfavorable outcome. Those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 the highest FI-Lab quartile had greater odds of an unfavorable outcome than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those in the lowest (odds ratio 3.42, 95% CI 1.75-6.69; p</w:t>
      </w:r>
      <w:r w:rsidRPr="00DD434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D4343">
        <w:rPr>
          <w:rFonts w:ascii="宋体" w:eastAsia="宋体" w:hAnsi="宋体" w:cs="宋体"/>
          <w:color w:val="000000" w:themeColor="text1"/>
          <w:szCs w:val="24"/>
        </w:rPr>
        <w:t>&lt;</w:t>
      </w:r>
      <w:r w:rsidRPr="00DD434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0.001; p-for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trend</w:t>
      </w:r>
      <w:r w:rsidRPr="00DD434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D4343">
        <w:rPr>
          <w:rFonts w:ascii="宋体" w:eastAsia="宋体" w:hAnsi="宋体" w:cs="宋体"/>
          <w:color w:val="000000" w:themeColor="text1"/>
          <w:szCs w:val="24"/>
        </w:rPr>
        <w:t>=</w:t>
      </w:r>
      <w:r w:rsidRPr="00DD434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0.0002), after adjustment for age, sex, comorbidity burden, treatment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delay, baseline medications, cavitary disease, and bacteriological status.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Results were consistent across seven pre-specified sensitivity analyses and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 Cox proportional hazards model (hazard ratio 3.28, 95% CI 1.60-6.73;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</w:t>
      </w:r>
      <w:r w:rsidRPr="00DD434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D4343">
        <w:rPr>
          <w:rFonts w:ascii="宋体" w:eastAsia="宋体" w:hAnsi="宋体" w:cs="宋体"/>
          <w:color w:val="000000" w:themeColor="text1"/>
          <w:szCs w:val="24"/>
        </w:rPr>
        <w:t>=</w:t>
      </w:r>
      <w:r w:rsidRPr="00DD434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D4343">
        <w:rPr>
          <w:rFonts w:ascii="宋体" w:eastAsia="宋体" w:hAnsi="宋体" w:cs="宋体"/>
          <w:color w:val="000000" w:themeColor="text1"/>
          <w:szCs w:val="24"/>
        </w:rPr>
        <w:t>0.001).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 xml:space="preserve">DISCUSSION: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Higher FI-Lab scores were independently associated with unfavorable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treatment outcomes in older adults with DS-PTB. Derived from routinely available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blood tests, FI-Lab may offer a practical approach to frailty quantification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around the time of treatment initiation, and prospective studies are needed 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evaluate whether frailty-targeted interventions improve outcomes.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 Park, Woo, Choe and Kim.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10.3389/fpubh.2026.1873438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PMC13396249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42500018 [Indexed for MEDLINE]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BA20C9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6C6BF8">
        <w:rPr>
          <w:rFonts w:ascii="宋体" w:eastAsia="宋体" w:hAnsi="宋体" w:cs="宋体"/>
          <w:b/>
          <w:color w:val="FF0000"/>
          <w:szCs w:val="24"/>
        </w:rPr>
        <w:t>5</w:t>
      </w:r>
      <w:r w:rsidR="00DD4343" w:rsidRPr="00BA20C9">
        <w:rPr>
          <w:rFonts w:ascii="宋体" w:eastAsia="宋体" w:hAnsi="宋体" w:cs="宋体"/>
          <w:b/>
          <w:color w:val="FF0000"/>
          <w:szCs w:val="24"/>
        </w:rPr>
        <w:t xml:space="preserve">. Diagn Microbiol Infect Dis. 2026 Jul 17;116(3):117565. doi: </w:t>
      </w:r>
    </w:p>
    <w:p w:rsidR="00DD4343" w:rsidRPr="00BA20C9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BA20C9">
        <w:rPr>
          <w:rFonts w:ascii="宋体" w:eastAsia="宋体" w:hAnsi="宋体" w:cs="宋体"/>
          <w:b/>
          <w:color w:val="FF0000"/>
          <w:szCs w:val="24"/>
        </w:rPr>
        <w:t>10.1016/j.diagmicrobio.2026.117565. Online ahead of print.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Evaluation of a 16S rRNA real-time PCR assay for detection of mycobacterium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tuberculosis in comparison with GeneXpert MTB/RIF in a Vietnam hospital.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Dao BN(1), Ta TB(2), Luong TC(1), Pham NTK(1), Van Nguyen D(1), Le HTD(3),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Nguyen CH(4), Vo TTB(5).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(1)Military Hospital 103, Vietnam Military Medical Academy, 261 Phung Hung, Ha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Dong, Hanoi 100000, Vietnam.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(2)Military Hospital 103, Vietnam Military Medical Academy, 261 Phung Hung, Ha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Dong, Hanoi 100000, Vietnam. Electronic address: tabathang@vmmu.edu.vn.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(3)Respiratory Department, Hai Phong University of Medicine and Pharmacy, Hai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Phong 180000, Vietnam.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(4)Department of Pneumology, Military Hospital 175, Ho Chi Minh 71409, Vietnam.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(5)Institute of Biology, Vietnam Academy of Science and Technology, 18 Hoang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Quoc Viet, Nghia Do, Hanoi 100000, Vietnam. Electronic address: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thuytbvo.igr@gmail.com.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>PURPOSE: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Tuberculosis remains a major public health challenge in Vietnam,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requiring timely and accurate diagnosis. This study aimed to evaluate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clinical performance of a simple real-time PCR assay targeting the 16S rRNA gene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of Mycobacterium tuberculosis, with emphasis on its applicability in routine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hospital conditions.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 cross-sectional study was conducted at Military Hospital 103 (during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2022-2023) involving 60 newly diagnosed pulmonary TB patients (30 Acid-Fast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Bacillus (AFB)-positive, 30 AFB-negative), 30 community-acquired pneumonia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patients, and 30 Mycobacterium tuberculosis (MTB) plus 30 non-tuberculous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mycobacteria (NTM) isolates as controls. Depending on the study group and sample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availability, specimens were subjected to MGIT culture, AFB smear microscopy,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GeneXpert MTB/RIF, and 16S rRNA real-time PCR according to the study protocol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routine clinical workflow. Diagnostic performance was assessed using MGIT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culture as the reference standard.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lastRenderedPageBreak/>
        <w:t xml:space="preserve">RESULTS: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 16S rRNA PCR assay showed 100% sensitivity and specificity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control isolates. In clinical specimens, sensitivity and specificity were 100%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100% in AFB-positive patients, 83.3% and 100% in AFB-negative patients,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91.7% and 100% overall. GeneXpert MTB/RIF showed a sensitivity of 86.7%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specificity of 100% among tested samples. Notably, reduced GeneXpert sensitivity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was observed in a subset of blood-contaminated specimens, whereas the 16S rRNA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assay maintained consistent detection performance.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The 16S rRNA real-time PCR assay demonstrated high diagnostic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accuracy across different clinical subgroups and specimen types under routine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laboratory conditions. While not introducing a novel molecular target, this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approach showed potential as a complementary diagnostic tool, particularly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settings where access to automated molecular platforms is limited or where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specimen quality may affect test performance.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 Elsevier Inc. All rights reserved.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10.1016/j.diagmicrobio.2026.117565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42497633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BA20C9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6C6BF8">
        <w:rPr>
          <w:rFonts w:ascii="宋体" w:eastAsia="宋体" w:hAnsi="宋体" w:cs="宋体"/>
          <w:b/>
          <w:color w:val="FF0000"/>
          <w:szCs w:val="24"/>
        </w:rPr>
        <w:t>6</w:t>
      </w:r>
      <w:r w:rsidR="00DD4343" w:rsidRPr="00BA20C9">
        <w:rPr>
          <w:rFonts w:ascii="宋体" w:eastAsia="宋体" w:hAnsi="宋体" w:cs="宋体"/>
          <w:b/>
          <w:color w:val="FF0000"/>
          <w:szCs w:val="24"/>
        </w:rPr>
        <w:t xml:space="preserve">. Diagn Microbiol Infect Dis. 2026 Jul 17;116(3):117566. doi: </w:t>
      </w:r>
    </w:p>
    <w:p w:rsidR="00DD4343" w:rsidRPr="00BA20C9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BA20C9">
        <w:rPr>
          <w:rFonts w:ascii="宋体" w:eastAsia="宋体" w:hAnsi="宋体" w:cs="宋体"/>
          <w:b/>
          <w:color w:val="FF0000"/>
          <w:szCs w:val="24"/>
        </w:rPr>
        <w:t>10.1016/j.diagmicrobio.2026.117566. Online ahead of print.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Dual infection: disseminated histoplasmosis and peritoneal tuberculosis in 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HIV-negative immunocompetent patient. A case report.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Avellano-Khan L(1), Stone N(2), Edwards J(3), Pannu K(3), Mukherjee D(3).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(1)Basildon University Hospital, Mid and South Essex NHS Foundation Trust,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Essex, United Kingdom. Electronic address: luis.avellano-khan1@nhs.net.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(2)Hospital for Tropical Diseases, University College London Hospitals NHS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Foundation Trust, London, United Kingdom.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(3)Basildon University Hospital, Mid and South Essex NHS Foundation Trust,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Essex, United Kingdom.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Histoplasmosis is a dimorphic fungal infection that classically causes pulmonary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disease in immunocompetent hosts and disseminated disease in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immunosuppressed. Tuberculosis has protean manifestations that overlap with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histoplasmosis, and global limitations in mycological diagnostics frequently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lead to misdiagnosis. We present a case of dual infection with culture-confirmed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disseminated histoplasmosis and peritoneal tuberculosis in a HIV-negative,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clinically immunocompetent man, whose only recognised risk factor was type 2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diabetes mellitus. This patient presented to a hospital in the United Kingdom, 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non-endemic country. We discuss the diagnostic and therapeutic challenges posed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by overlapping clinical presentations, concurrent antifungal-antimycobacterial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regimens, and their cumulative toxicity.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 The Authors. Published by Elsevier Inc. All rights reserved.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10.1016/j.diagmicrobio.2026.117566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42497632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BA20C9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6C6BF8">
        <w:rPr>
          <w:rFonts w:ascii="宋体" w:eastAsia="宋体" w:hAnsi="宋体" w:cs="宋体"/>
          <w:b/>
          <w:color w:val="FF0000"/>
          <w:szCs w:val="24"/>
        </w:rPr>
        <w:t>7</w:t>
      </w:r>
      <w:r w:rsidR="00DD4343" w:rsidRPr="00BA20C9">
        <w:rPr>
          <w:rFonts w:ascii="宋体" w:eastAsia="宋体" w:hAnsi="宋体" w:cs="宋体"/>
          <w:b/>
          <w:color w:val="FF0000"/>
          <w:szCs w:val="24"/>
        </w:rPr>
        <w:t>. Am J Emerg Med. 2026 Jul 19;109:209-213. doi: 10.1</w:t>
      </w:r>
      <w:r w:rsidR="00BA20C9" w:rsidRPr="00BA20C9">
        <w:rPr>
          <w:rFonts w:ascii="宋体" w:eastAsia="宋体" w:hAnsi="宋体" w:cs="宋体"/>
          <w:b/>
          <w:color w:val="FF0000"/>
          <w:szCs w:val="24"/>
        </w:rPr>
        <w:t xml:space="preserve">016/j.ajem.2026.07.026. Online </w:t>
      </w:r>
      <w:r w:rsidR="00DD4343" w:rsidRPr="00BA20C9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Beyond the lungs: A case series of extrapulmonary tuberculosis.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Hohl M(1), McGregor K(2), Cachola L(3), Gensburg A(4), Brea N(5), Hedayati T(6),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Dyer S(7).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(1)Cook County Health, Department of Emergency Medicine, Chicago, IL, United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States of America. Electronic address: michael.hohl@cookcountyhealth.org.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(2)Cook County Health, Department of Emergency Medicine, Chicago, IL, United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States of America. Electronic address: kathryn.mcgregor@cookcountyhealth.org.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(3)Cook County Health, Department of Emergency Medicine, Chicago, IL, United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States of America. Electronic address: leslie.cachola@cookcountyhealth.org.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(4)Cook County Health, Department of Emergency Medicine, Chicago, IL, United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States of America. Electronic address: andrew.gensburg@cookcountyhealth.org.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(5)Cook County Health, Department of Emergency Medicine, Chicago, IL, United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States of America. Electronic address: nina.brea@cookcountyhealth.org.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(6)Cook County Health, Department of Emergency Medicine, Chicago, IL, United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States of America. Electronic address: thedayati@cookcountyhhs.org.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(7)Cook County Health, Department of Emergency Medicine, Chicago, IL, United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States of America. Electronic address: sdyer2@cookcountyhhs.org.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Globally, Tuberculosis (TB) is the leading infectious cause of death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with more than 10 million cases and 1 million deaths from the disease annually.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TB can present as a primary extrapulmonary infection without pulmonary symptoms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or infection often mimicking other pathologies, thereby making its clinical </w:t>
      </w:r>
    </w:p>
    <w:p w:rsidR="00DD4343" w:rsidRPr="00BA20C9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color w:val="000000" w:themeColor="text1"/>
          <w:szCs w:val="24"/>
        </w:rPr>
        <w:t>manifestations uniquely difficult to diagnose in the Emergency Department.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We present five patients with rare cases of TB in an effort 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underscore the importance of the EM physician keeping extrapulmonary infection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 their differential.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t>DISCUSSION: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Extrapulmonary TB is a high acuity, low incidence disease that must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be on EM physicians' differential when considering susceptible patient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populations with common ED chief complaints. Complications from undetected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disease can result in significant patient morbidity and mortality.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A20C9">
        <w:rPr>
          <w:rFonts w:ascii="宋体" w:eastAsia="宋体" w:hAnsi="宋体" w:cs="宋体"/>
          <w:b/>
          <w:color w:val="000000" w:themeColor="text1"/>
          <w:szCs w:val="24"/>
        </w:rPr>
        <w:lastRenderedPageBreak/>
        <w:t>CONCLUSION: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Extrapulmonary TB is likely an underdiagnosed condition due to its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often subtle and confounding presentations. The diagnosis should be considered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 individuals with TB risk factors, HIV or other immunocompromised conditions,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 history of TB infection and recurrent organ-specific infectious symptoms.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 Elsevier Inc. All rights reserved.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10.1016/j.ajem.2026.07.026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4249760</w:t>
      </w:r>
      <w:r w:rsidR="00BA20C9">
        <w:rPr>
          <w:rFonts w:ascii="宋体" w:eastAsia="宋体" w:hAnsi="宋体" w:cs="宋体"/>
          <w:color w:val="000000" w:themeColor="text1"/>
          <w:szCs w:val="24"/>
        </w:rPr>
        <w:t>1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B56780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6C6BF8">
        <w:rPr>
          <w:rFonts w:ascii="宋体" w:eastAsia="宋体" w:hAnsi="宋体" w:cs="宋体"/>
          <w:b/>
          <w:color w:val="FF0000"/>
          <w:szCs w:val="24"/>
        </w:rPr>
        <w:t>8</w:t>
      </w:r>
      <w:r w:rsidR="00DD4343" w:rsidRPr="00B56780">
        <w:rPr>
          <w:rFonts w:ascii="宋体" w:eastAsia="宋体" w:hAnsi="宋体" w:cs="宋体"/>
          <w:b/>
          <w:color w:val="FF0000"/>
          <w:szCs w:val="24"/>
        </w:rPr>
        <w:t xml:space="preserve">. J Clin Tuberc Other Mycobact Dis. 2026 Jul 17;44:100636. doi: </w:t>
      </w:r>
    </w:p>
    <w:p w:rsidR="00DD4343" w:rsidRPr="00B56780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B56780">
        <w:rPr>
          <w:rFonts w:ascii="宋体" w:eastAsia="宋体" w:hAnsi="宋体" w:cs="宋体"/>
          <w:b/>
          <w:color w:val="FF0000"/>
          <w:szCs w:val="24"/>
        </w:rPr>
        <w:t>10.1016/j.jctube.2026.100636. eCollection 2026 Aug.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Developing an integrated medication event monitoring system and smartphone-based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ecological momentary assessment delivery platform to identify real-time factors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influencing TB treatment adherence in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Jimah T(1), A M Stadler J(2), Bota Z(3), A Marshall L(4), Johnson R(5), Kipp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A(6), Wasserman S(7)(8)(9), Orrell C(10)(11), Daniels J(12), Medina-Marino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A(13)(14).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(1)Department of Public Health and Health Sciences, Department of Pharmacy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Health Systems Sciences, Bouvé College of Health Sciences, Northeastern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University, Boston, MA,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(2)Centre for Infectious Diseases Research in Africa, Faculty of Health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Sciences, University of Cape Town, Cape Town,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(3)Nelson Mandela University, Gqeberha,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(4)Wisepill Technologies, Cape Town,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(5)Center for Infectious Diseases Research in Africa, University of Cape Town,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Cape Town,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(6)Department of Public Health, East Carolina University Brody School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Medicine, Greenville, NC,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(7)Centre for Global Health, Institute for Infection and Immunity, St George's,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University of London, London, United Kingdom.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(8)Centre for Infectious Diseases Research in Africa, Institute of Infectious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Disease and Molecular Medicine, University of Cape Town, Cape Town, South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(9)Division of Infectious Diseases and HIV Medicine, Department of Medicine,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University of Cape Town, Cape Town,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(10)Desmond Tutu HIV Centre, Cape Town,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(11)Institute of Infectious Disease and Molecular Medicine and Department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Medicine, University of Cape Town, Cape Town,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(12)Edson College of Nursing and Health Innovation, Arizona State University,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Phoenix, AZ,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(13)Desmond Tutu HIV Centre, University of Cape Town, Cape Town,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(14)Department of Psychiatry, Perelman School of Medicine, University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Pennsylvania, Philadelphia, PA,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56780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Identifying real-time factors influencing adherence to Tuberculosis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(TB) treatment is critical for informing treatment support interventions.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Studies often use methods prone to recall bias, failing to capture objective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real-time adherence-related factors.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56780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To develop and test the functionality of an integrated medication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event monitoring system and modified ecological momentary assessment (MEMS-mEMA)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technology platform to collect real-time data on factors influencing daily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dosing of drug-susceptible TB treatment.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56780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We developed backend technology integrating a medication event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monitoring (MEM) device with REDCap to deliver electronic surveys. System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functionality was tested among individuals initiating TB treatment who received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 Wisepill MEM device to store medication and capture dosing data, using device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openings as a proxy for medication intake. Modified EMA (mEMA) surveys were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administered randomly once every rolling seven days, and when the MEM device was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not opened. In-depth interviews, followed by rapid qualitative analysis, were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conducted to capture user experiences. Device openings and the total number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EMA surveys delivered and completed, including response rates, were presented.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56780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We successfully developed and tested the MEMS-mEMA system for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collecting data on factors influencing TB treatment adherence. Ten adults newly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initiating TB treatment participated in a pilot study for two months (male = 7;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female = 3); mean age = 37 years (SD ±13.1), 50% l</w:t>
      </w:r>
      <w:r w:rsidR="00B56780">
        <w:rPr>
          <w:rFonts w:ascii="宋体" w:eastAsia="宋体" w:hAnsi="宋体" w:cs="宋体"/>
          <w:color w:val="000000" w:themeColor="text1"/>
          <w:szCs w:val="24"/>
        </w:rPr>
        <w:t xml:space="preserve">iving with TB/HIV coinfection. </w:t>
      </w:r>
      <w:r w:rsidRPr="00DD4343">
        <w:rPr>
          <w:rFonts w:ascii="宋体" w:eastAsia="宋体" w:hAnsi="宋体" w:cs="宋体"/>
          <w:color w:val="000000" w:themeColor="text1"/>
          <w:szCs w:val="24"/>
        </w:rPr>
        <w:t>The median number of days the MEM device w</w:t>
      </w:r>
      <w:r w:rsidR="00B56780">
        <w:rPr>
          <w:rFonts w:ascii="宋体" w:eastAsia="宋体" w:hAnsi="宋体" w:cs="宋体"/>
          <w:color w:val="000000" w:themeColor="text1"/>
          <w:szCs w:val="24"/>
        </w:rPr>
        <w:t xml:space="preserve">as opened during the two-month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intensive treatment phase was 61 days. Participants demonstrated good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comprehension of study requirements and did not report major challenges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responding to surveys.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56780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Findings suggest that this novel platform can collect real-time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data on factors influencing TB treatment adherence for a larger feasibility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study to inform intervention development in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2026 The Authors. Published by Elsevier Ltd.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10.1016/j.jctube.2026.100636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PMC13393155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42495709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B56780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6C6BF8">
        <w:rPr>
          <w:rFonts w:ascii="宋体" w:eastAsia="宋体" w:hAnsi="宋体" w:cs="宋体"/>
          <w:b/>
          <w:color w:val="FF0000"/>
          <w:szCs w:val="24"/>
        </w:rPr>
        <w:t>9</w:t>
      </w:r>
      <w:r w:rsidR="00DD4343" w:rsidRPr="00B56780">
        <w:rPr>
          <w:rFonts w:ascii="宋体" w:eastAsia="宋体" w:hAnsi="宋体" w:cs="宋体"/>
          <w:b/>
          <w:color w:val="FF0000"/>
          <w:szCs w:val="24"/>
        </w:rPr>
        <w:t xml:space="preserve">. J Clin Tuberc Other Mycobact Dis. 2026 Jul 18;44:100635. doi: </w:t>
      </w:r>
    </w:p>
    <w:p w:rsidR="00DD4343" w:rsidRPr="00B56780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B56780">
        <w:rPr>
          <w:rFonts w:ascii="宋体" w:eastAsia="宋体" w:hAnsi="宋体" w:cs="宋体"/>
          <w:b/>
          <w:color w:val="FF0000"/>
          <w:szCs w:val="24"/>
        </w:rPr>
        <w:t>10.1016/j.jctube.2026.100635. eCollection 2026 Aug.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Public transport: the missing link in tuberculosis control in Somalia.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Hussein MA(1)(2), Khalif IA(1)(2), Mohamed SA(1)(2)(3), Bashir SG(1)(2)(4),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Abdulle AA(1)(2).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(1)Faculty of Health Sciences and Tropical Medicine, Somali National University,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Mogadishu, Somalia.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(2)Center for Health Research and Innovation, Somali National University,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Mogadishu, Somalia.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(3)Banadir Research, Consultancy &amp; Evaluation Center, Mogadishu, Somalia.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(4)Faculty of Health Sciences, Salaam University, Mogadishu, Somalia.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Tuberculosis (TB) remains a major public health challenge in Somalia, where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conflict, displacement, delayed diagnosis, and fragile healthcare systems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sustain ongoing transmission. While existing TB control efforts largely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emphasize household and healthcare-associated exposure, the role of overcrowded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public transport systems has received limited attention. In rapidly urbanizing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Somali cities, particularly Mogadishu, minibuses and shared taxis represent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enclosed, poorly ventilated, high-turnover environments that may facilitate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airborne transmission of Mycobacterium tuberculosis. Evidence from high-burden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settings demonstrates that public transport can function as a significant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transmission setting because of prolonged close contact and inadequate airflow.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Somalia's low case detection rates and frequent delays in treatment initiation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further increase the likelihood that infectious individuals continue using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crowded transport networks during active disease. This letter argues that public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transport should be recognized as a neglected but modifiable determinant of 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transmission in Somalia. Integrating transport-focused interventions into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national TB strategies, including awareness campaigns, community-based active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case finding, improved ventilation practices, and mobility-informed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surveillance, could provide a practical and context-appropriate opportunity 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reduce transmission. Addressing public transport as a mobile transmission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environment may strengthen TB control efforts and contribute to reducing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burden of disease in Somalia's fragile urban settings.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10.1016/j.jctube.2026.100635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PMC13393636</w:t>
      </w:r>
    </w:p>
    <w:p w:rsidR="00DD4343" w:rsidRPr="00DD4343" w:rsidRDefault="00B56780" w:rsidP="00DD4343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42495708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B56780" w:rsidRDefault="006C6BF8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50</w:t>
      </w:r>
      <w:r w:rsidR="00DD4343" w:rsidRPr="00B56780">
        <w:rPr>
          <w:rFonts w:ascii="宋体" w:eastAsia="宋体" w:hAnsi="宋体" w:cs="宋体"/>
          <w:b/>
          <w:color w:val="FF0000"/>
          <w:szCs w:val="24"/>
        </w:rPr>
        <w:t>. Cureus. 2026 Jun 23;18(6):e111371. doi: 10.7759/c</w:t>
      </w:r>
      <w:r w:rsidR="00B56780" w:rsidRPr="00B56780">
        <w:rPr>
          <w:rFonts w:ascii="宋体" w:eastAsia="宋体" w:hAnsi="宋体" w:cs="宋体"/>
          <w:b/>
          <w:color w:val="FF0000"/>
          <w:szCs w:val="24"/>
        </w:rPr>
        <w:t xml:space="preserve">ureus.111371. eCollection 2026 </w:t>
      </w:r>
      <w:r w:rsidR="00DD4343" w:rsidRPr="00B56780">
        <w:rPr>
          <w:rFonts w:ascii="宋体" w:eastAsia="宋体" w:hAnsi="宋体" w:cs="宋体"/>
          <w:b/>
          <w:color w:val="FF0000"/>
          <w:szCs w:val="24"/>
        </w:rPr>
        <w:t>Jun.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Lupus Retinopathy Mimicking Ocular Tuberculosis: A Diagnostic Dilemma.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Rawat S(1), Malhotra S(1), Lakhlan P(1), Das S(1), Bhatt V(1), Luthra G(1),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Gururani S(2), Bakaya V(3), Luthra S(1).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(1)Ophthalmology, Drishti Eye Institute, Dehradun, IND.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(2)Rheumatology, Shri Guru Ram Rai Institute of Medical and Health Sciences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(SGRRIMHS) and Shri Mahant Indiresh Hospital (SMIH), Dehradun, IND.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(3)Dermatology, Dr. Bakaya's Skin and Aesthetic Clinic, Dehradun, IND.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Systemic lupus erythematosus (SLE) or Lupus is often called the "great mimicker"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due to its ability to mimic other systemic disorders. SLE is a multisystem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autoimmune disorder with varied manifestations, including ocular involvement.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Retinal vascular occlusions are an uncommon but potentially vision-threatening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presentation of lupus retinopathy. When coexisting systemic features mimic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infectious etiologies such as tuberculosis (TB), diagnosis becomes challenging,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delaying appropriate immunosuppressive therapy. We report a diagnostically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complex case of a 22-year-old female who presented with sudden, painless loss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vision in the right eye. Initially, she was diagnosed elsewhere as macular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branch retinal artery occlusion (BRAO) and chorioretinitis. Systemic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symptoms-weight loss, low-grade fever, and neuropathy-along with a positive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sputum smear and chest radiograph findings, led to a provisional diagnosis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pulmonary tuberculosis with presumed ocular TB. She was started 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anti-tubercular therapy (ATT) and oral corticosteroids. Upon further evaluation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at our center, additional ocular findings included disc pallor, active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vasculitis, and bilateral chorioretinitis. Imaging studies (Fundus Fluorescein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Angiography (FFA), Indocyanine Green Angiography (ICGA), Optical Coherence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Tomography (OCT)) confirmed retinal vasculitis. A dermatologic evaluation of her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facial rash was inconclusive for SLE. However, subsequent worsening of systemic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symptoms and neuropsychiatric events prompted re-investigation. Specific MRI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findings and immunological tests that revealed strong positivity for anti-Smith,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anti-ribonucleoprotein (anti-RNP), anti-Ro-52, and anti-double-stranded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deoxyribonucleic acid (anti-dsDNA) antibodies with hypocomplementemia confirmed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 diagnosis of neuropsychiatric SLE (NPSLE). ATT was discontinued, and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patient was treated with intravenous steroids and cyclophosphamide and later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transitioned to mycophenolate mofetil. Over a year, the patient showed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significant systemic and ocular improvement, with best-corrected visual acuity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 the affected eye improving from perception of light to 6/60. This case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highlights the diagnostic dilemma in distinguishing retinal vasculitis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autoimmune etiology from that due to infectious causes such as tuberculosis,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especially in endemic regions. Ocular involvement can be an early sign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systemic SLE, underscoring the need for high clinical suspicion, systemic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correlation, and immunological workup in young patients with retinal vascular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occlusions. Early recognition of lupus retinopathy and timely immunosuppression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are key to preserving vision and preventing systemic morbidity.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2026, Rawat et al.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10.7759/cureus.111371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PMC13395254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42495497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B56780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6C6BF8">
        <w:rPr>
          <w:rFonts w:ascii="宋体" w:eastAsia="宋体" w:hAnsi="宋体" w:cs="宋体"/>
          <w:b/>
          <w:color w:val="FF0000"/>
          <w:szCs w:val="24"/>
        </w:rPr>
        <w:t>1</w:t>
      </w:r>
      <w:r w:rsidR="00DD4343" w:rsidRPr="00B56780">
        <w:rPr>
          <w:rFonts w:ascii="宋体" w:eastAsia="宋体" w:hAnsi="宋体" w:cs="宋体"/>
          <w:b/>
          <w:color w:val="FF0000"/>
          <w:szCs w:val="24"/>
        </w:rPr>
        <w:t>. Ann Afr Med. 2026 Sep 1;25(5):1108-1113. doi: 10.</w:t>
      </w:r>
      <w:r w:rsidR="00B56780" w:rsidRPr="00B56780">
        <w:rPr>
          <w:rFonts w:ascii="宋体" w:eastAsia="宋体" w:hAnsi="宋体" w:cs="宋体"/>
          <w:b/>
          <w:color w:val="FF0000"/>
          <w:szCs w:val="24"/>
        </w:rPr>
        <w:t xml:space="preserve">4103/aam.aam_166_26. Epub 2026 </w:t>
      </w:r>
      <w:r w:rsidR="00DD4343" w:rsidRPr="00B56780">
        <w:rPr>
          <w:rFonts w:ascii="宋体" w:eastAsia="宋体" w:hAnsi="宋体" w:cs="宋体"/>
          <w:b/>
          <w:color w:val="FF0000"/>
          <w:szCs w:val="24"/>
        </w:rPr>
        <w:t>May 14.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Pulmonary Tuberculosis and Lung Cancer: Bibliometric Analysis of Global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Scientific Output.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[Article in English, French; Abstract available in French from the publisher]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Ore JB(1), Liñan-Bermudez A(2), Guillen-Calle BE(3), Rojas MS(2), Davila LT(4).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(1)Academic Department, Universidad Privada del Norte, Lima, Perú.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(2)Department Academic, Universidad Nacional Mayor de San Marcos, Lima, Perú.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(3)Sub-unit of Research and Technological Innovation, National Institute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Child Health San Borja, Lima, Perú.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(4)Academic Department, Universidad Continental, Huancayo, Perú.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56780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Pulmonary tuberculosis (PTB) and lung cancer (LC) are leading causes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of respiratory morbidity and mortality worldwide, with a marked impact on low-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and middle-income countries.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AIM: The aim of the study was to analyze scientific output on PTB and LC from 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bibliometric perspective.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56780">
        <w:rPr>
          <w:rFonts w:ascii="宋体" w:eastAsia="宋体" w:hAnsi="宋体" w:cs="宋体"/>
          <w:b/>
          <w:color w:val="000000" w:themeColor="text1"/>
          <w:szCs w:val="24"/>
        </w:rPr>
        <w:t>METHODS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: Descriptive study using bibliometric methods, which consisted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searching for publications using a MESH term strategy. After the selection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process, 254 original articles were included. The analysis was performed using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the SciVal, Bibliometrix, and VOSviewer tools.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56780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Scientific output shows an annual growth of 4.79% and an average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11.91 citations per publication per year. 7.48% involve international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collaboration. The most productive institutions are Capital Medical University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 China, followed by Sungkyunkwan University in South Korea. The most relevant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journals specialize in the field of pulmonology and cancer. Scientific output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shows a positive trend, with growth in Q1 quartile journals becoming more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noticeable from 2020 onward. In the thematic analysis, research fields such as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"computer-assisted tomography" emerge. China leads in this field of research,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with an extensive cooperation network involving a high level of participation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from Asian countries.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B56780">
        <w:rPr>
          <w:rFonts w:ascii="宋体" w:eastAsia="宋体" w:hAnsi="宋体" w:cs="宋体"/>
          <w:b/>
          <w:color w:val="000000" w:themeColor="text1"/>
          <w:szCs w:val="24"/>
        </w:rPr>
        <w:lastRenderedPageBreak/>
        <w:t xml:space="preserve">CONCLUSION: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Bibliometric evidence shows a growing trend and increasingly close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scientific interaction between PTB and LC, supported by the expansion of Asian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production, technological advances in diagnosis, and the shared immunological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approach to both diseases.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 Annals of African Medicine.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10.4103/aam.aam_166_26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42494226 [Indexed for MEDLINE]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B56780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6C6BF8">
        <w:rPr>
          <w:rFonts w:ascii="宋体" w:eastAsia="宋体" w:hAnsi="宋体" w:cs="宋体"/>
          <w:b/>
          <w:color w:val="FF0000"/>
          <w:szCs w:val="24"/>
        </w:rPr>
        <w:t>2</w:t>
      </w:r>
      <w:r w:rsidR="00DD4343" w:rsidRPr="00B56780">
        <w:rPr>
          <w:rFonts w:ascii="宋体" w:eastAsia="宋体" w:hAnsi="宋体" w:cs="宋体"/>
          <w:b/>
          <w:color w:val="FF0000"/>
          <w:szCs w:val="24"/>
        </w:rPr>
        <w:t>. Ann Glob Health. 2026 Jul 15;92(1):66. doi: 10.5334/aogh.5233. eCollection 2026.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"I Would Have to Hold Him and Pin Him Down": Caregiver Experiences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Administering Drug-Resistant Tuberculosis Treatment to Children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KwaZulu-Natal,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Seepamore B(1), Misra N(2)(3), van de Water BJ(4), Furin J(5), Misra S(6)(7)(8).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(1)Discipline of Social Work, University of KwaZulu-Natal, Durban,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(2)King Dinuzulu Hospital Complex, Centralized Drug-Resistant Tuberculosis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Hospital, Durban,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(3)Discipline of Health Sciences, University of KwaZulu-Natal,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(4)Connell School of Nursing, Boston College, Chestnut Hill, MA,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(5)Department of Global Health and Social Medicine, Harvard Medical School,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Boston, Massachusetts,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(6)The Health Ninja Pty Ltd, Durban,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(7)Divine Health Forum NPC, Durban,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(8)SYNAPSE Research Collective, Wits Health Consortium, Pietermaritzburg, South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The lack of child-friendly, second-line drug-resistant tuberculosis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(DR-TB) medication in South Africa often leads to the use of adult formulations,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which are not always suitable for children. Caregiver experiences in preparing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administering this treatment and the impact on parent-child relationships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are poorly represented in the literature. </w:t>
      </w:r>
      <w:r w:rsidRPr="00E1632D">
        <w:rPr>
          <w:rFonts w:ascii="宋体" w:eastAsia="宋体" w:hAnsi="宋体" w:cs="宋体"/>
          <w:b/>
          <w:color w:val="000000" w:themeColor="text1"/>
          <w:szCs w:val="24"/>
        </w:rPr>
        <w:t>Objective(s)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: To assess parental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acceptability regarding the preparation and administration of DR-TB medications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for young children, utilizing Wademan's acceptability framework. Methods: Seven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caregivers of eight children who had been diagnosed with DR-TB between June 2019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February 2022 and initiated treatment at a referral hospital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KwaZulu-Natal participated in the study. Individual in-depth interviews with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three caregivers and one focus group discussion with four caregivers were used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to gather data, which were analyzed using part of the acceptability framework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for TB in children developed by Wademan et al. [1].</w:t>
      </w:r>
      <w:r w:rsidRPr="00E1632D">
        <w:rPr>
          <w:rFonts w:ascii="宋体" w:eastAsia="宋体" w:hAnsi="宋体" w:cs="宋体"/>
          <w:b/>
          <w:color w:val="000000" w:themeColor="text1"/>
          <w:szCs w:val="24"/>
        </w:rPr>
        <w:t xml:space="preserve"> Findings: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Despite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challenges, caregivers were adept at navigating DR-TB medication regimens,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highlighting their critical role in inventive preparation methods to enhance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palatability and strategic administration practices for children. Adult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medications were adapted where necessary, and caregivers employed various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techniques to ensure adherence. The acceptability of treatment was affected by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medication palatability, preparation and administration, appeal and side effects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(usability), and the interface between caregivers and the healthcare system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(integration). Staying engaged in care threatened not only family resources but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also the parent-child relationship. The daily struggle was between children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often resisting medication and caregivers needing to find ways for the children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to take medication, for instance, by begging, reasoning with, threatening,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forcing them. </w:t>
      </w:r>
      <w:r w:rsidRPr="00E1632D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Despite all formulations having adverse effects,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caregivers and children preferred child-friendly formulations due to their ease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of preparation and administration. Child-friendly formulations of DR-TB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medications should be widely available and be the standard of care in all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settings.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Copyright: © 2026 The Author(s).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10.5334/aogh.5233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PMC13378431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42491692 [Indexed for MEDLINE]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1632D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6C6BF8">
        <w:rPr>
          <w:rFonts w:ascii="宋体" w:eastAsia="宋体" w:hAnsi="宋体" w:cs="宋体"/>
          <w:b/>
          <w:color w:val="FF0000"/>
          <w:szCs w:val="24"/>
        </w:rPr>
        <w:t>3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>. Ann Glob Health. 2026 Jul 16;92(1):68. doi: 10.5334/aogh.5369. eCollection 2026.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Tuberculosis Diagnostic Delays in Indonesian Primary Care Pathways.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Jaksa S(1), Fachri M(2), Akaputra R(2), Lusida N(1), Hasanah I(1), Filhaq R(3).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(1)Faculty of Public Health, Universitas Muhammadiyah Jakarta, South Tangerang,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Indonesia.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(2)Faculty of Medicine and Health, Universitas Muhammadiyah Jakarta, South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Tangerang, Indonesia.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(3)Faculty of Islamic Studies, Universitas Islam Jakarta, Jakarta, Indonesia.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Timely tuberculosis diagnosis is essential for reducing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transmission, preventable morbidity, and inequitable losses across the care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cascade. In Indonesia, primary health centres are central to screening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diagnostic coordination, but delays may still occur after individuals with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presumptive tuberculosis enter formal care. </w:t>
      </w:r>
      <w:r w:rsidRPr="00E1632D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To quantify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post-registration diagnostic delay among people with presumptive tuberculosis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Indonesian primary care and identify demographic, clinical, and referral-pathway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factors associated with delayed results, tuberculosis diagnosis, and treatment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initiation</w:t>
      </w:r>
      <w:r w:rsidRPr="00E1632D">
        <w:rPr>
          <w:rFonts w:ascii="宋体" w:eastAsia="宋体" w:hAnsi="宋体" w:cs="宋体"/>
          <w:b/>
          <w:color w:val="000000" w:themeColor="text1"/>
          <w:szCs w:val="24"/>
        </w:rPr>
        <w:t>. Methods: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We conducted a facility-based, register-based observational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study using national presumptive tuberculosis register data from a primary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health centre in Tasikmalaya City, West Java, Indonesia, covering 1 January 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31 December 2025. Diagnostic delay was defined as the interval from presumptive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tuberculosis registration to the first recorded diagnostic result. Negative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binomial regression estimated adjusted incidence rate ratios for delay,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logistic regression estimated adjusted odds ratios for prolonged delay, final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diagnosis, and treatment initiation. </w:t>
      </w:r>
      <w:r w:rsidRPr="00E1632D">
        <w:rPr>
          <w:rFonts w:ascii="宋体" w:eastAsia="宋体" w:hAnsi="宋体" w:cs="宋体"/>
          <w:b/>
          <w:color w:val="000000" w:themeColor="text1"/>
          <w:szCs w:val="24"/>
        </w:rPr>
        <w:t>Findings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: Among 503 presumptive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tuberculosis episodes, 486 had complete delay data. Median diagnostic delay was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4 days (interquartile range, 1-11 days). Delays longer than 14 and 30 days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occurred in 94 episodes (19.3%) and 37 episodes (7.6%), respectively. Longer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delay was associated with age 65 years or older (adjusted incidence rate ratio,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1.46; 95% CI, 1.12-1.90), extrapulmonary disease (1.58; 95% CI, 1.21-2.07),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referral from another health facility (1.35; 95% CI, 1.01-1.82). Overall, 176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presumptive episodes (35.0%) resulted in a tuberculosis diagnosis; 158 diagnosed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patients (89.8%) had documented treatment initiation.</w:t>
      </w:r>
      <w:r w:rsidRPr="00E1632D">
        <w:rPr>
          <w:rFonts w:ascii="宋体" w:eastAsia="宋体" w:hAnsi="宋体" w:cs="宋体"/>
          <w:b/>
          <w:color w:val="000000" w:themeColor="text1"/>
          <w:szCs w:val="24"/>
        </w:rPr>
        <w:t xml:space="preserve"> Conclusions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: Although most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diagnostic results were recorded rapidly after registration, delays were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concentrated among older adults, people with extrapulmonary disease,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referred patients. Strengthening register-based tracking, referral feedback,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escalation pathways for extrapulmonary tuberculosis may improve equitable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continuity across primary care tuberculosis services.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Copyright: © 2026 The Author(s).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10.5334/aogh.5369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PMC13378415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42491613 [Indexed for MEDLINE]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1632D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6C6BF8">
        <w:rPr>
          <w:rFonts w:ascii="宋体" w:eastAsia="宋体" w:hAnsi="宋体" w:cs="宋体"/>
          <w:b/>
          <w:color w:val="FF0000"/>
          <w:szCs w:val="24"/>
        </w:rPr>
        <w:t>4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>. Cureus. 2026 Jun 17;18(6):e111029. doi: 10.7759/c</w:t>
      </w:r>
      <w:r w:rsidR="00E1632D" w:rsidRPr="00E1632D">
        <w:rPr>
          <w:rFonts w:ascii="宋体" w:eastAsia="宋体" w:hAnsi="宋体" w:cs="宋体"/>
          <w:b/>
          <w:color w:val="FF0000"/>
          <w:szCs w:val="24"/>
        </w:rPr>
        <w:t xml:space="preserve">ureus.111029. eCollection 2026 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>Jun.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Multifocal Skeletal Tuberculosis Mimicking Metastatic Malignancy: A Case Report.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Medrano-Madrid PG(1), Espinoza-Beltrán EA(2), Espinoza-Beltrán JM(3),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Espinoza-Beltrán EM(4).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(1)Internal Medicine, Servicios de Salud del Instituto Mexicano del Seguro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Social para el Bienestar, Hospital General Culiacán, Culiacan, MEX.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(2)Internal Medicine, Servicios de Salud del Instituto Mexicano del Seguro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Social para el Bienestar, Hospital General Culiacán, Culiacán, MEX.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(3)Radiology, Centro de Investigación y Docencia en Ciencias de la Salud,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Hospital Civil de Culiacán, Culiacán, MEX.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(4)Infectious Disease, Universidad Autónoma de Sinaloa, Culiacán, MEX.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Skeletal tuberculosis is an uncommon form of extrapulmonary tuberculosis that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may involve multiple osseous sites and occasionally mimic malignant disease,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creating a significant diagnostic challenge. We report the case of a 70-year-old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male who presented with an eight-month history of progressive thoracolumbar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pain, constitutional symptoms, and subsequent development of paraplegia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urinary retention. Computed tomography revealed multifocal osteolytic lesions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involving the sternum, thoracic and lumbar vertebrae, and iliac bones, initially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raising concern for metastatic malignancy. Magnetic resonance imaging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demonstrated destructive thoracic spondylodiscitis with additional noncontiguous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vertebral involvement and associated epidural and paravertebral extension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resulting in spinal canal compromise. Definitive diagnosis was established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through computed tomography-guided biopsy followed by conventional polymerase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chain reaction, which detected Mycobacterium tuberculosis complex.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Antituberculous therapy was initiated, and the patient was subsequently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evaluated by the Neurosurgery service, where he was deemed a candidate for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surgical decompression and is currently undergoing preoperative assessment. This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case highlights the importance of considering multifocal skeletal tuberculosis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 the differential diagnosis of multifocal osteolytic lesions suggestive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malignancy, particularly in endemic regions.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2026, Medrano-Madrid et al.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10.7759/cureus.111029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PMC13378038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42491573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1632D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6C6BF8">
        <w:rPr>
          <w:rFonts w:ascii="宋体" w:eastAsia="宋体" w:hAnsi="宋体" w:cs="宋体"/>
          <w:b/>
          <w:color w:val="FF0000"/>
          <w:szCs w:val="24"/>
        </w:rPr>
        <w:t>5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 xml:space="preserve">. Case Rep Ophthalmol Med. 2026 Jul 17;2026:7580881. doi: 10.1155/crop/7580881. </w:t>
      </w:r>
    </w:p>
    <w:p w:rsidR="00DD4343" w:rsidRPr="00E1632D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1632D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Atypical Epiretinal Proliferation in a Case of Tuberculosis Uveitis.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Cömerter D(1), Düzgün E(1).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(1)Department of Ophthalmology, Sultan Abdülhamid Han Training and Research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Hospital, Istanbul, Turkey.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To report an unusual epiretinal proliferation (EP) case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tubercular serpiginous-like choroiditis.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CASE PRESENTATION: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A 30-year-old female patient with a history of uveitis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presented with blurry vision and floaters for 5 days. The visual acuities of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right and left eyes were 7/10 and 9/10, respectively. A slit lamp examination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 right eye showed moderate anterior uveitis with anterior chamber cells of 2+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1+ cells in the anterior vitreous. The left eye showed a posterior synechia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at the inferior half of the pupil but no cells in the anterior chamber. Mild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vitritis was observed in both eyes. A fundus examination revealed two atrophic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punch-out lesions in the right eye and multiple pigmented chorioretinal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scar-like lesions in the left eye. OCT showed cystoid macular edema in the right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eye and a wide epiretinal proliferative membrane in the left eye.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immunocompetent patient had a family history of tuberculosis (TB) infection.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tuberculin skin test resulted in a </w:t>
      </w:r>
      <w:r w:rsidRPr="00DD4343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DD4343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20-mm induration, and the QuantiFERON-TB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Gold test was positive. The patient was started on topical and oral steroids.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Additionally, anti-TB treatment was added, leading to a favorable outcome.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Following treatment, signs of panuveitis showed resolution, and there was an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improvement in vision symptoms.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To our knowledge, this may represent one of the first reported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cases of EP associated with tubercular serpiginous-like choroiditis.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 Do</w:t>
      </w:r>
      <w:r w:rsidRPr="00DD4343">
        <w:rPr>
          <w:rFonts w:ascii="Cambria" w:eastAsia="宋体" w:hAnsi="Cambria" w:cs="Cambria"/>
          <w:color w:val="000000" w:themeColor="text1"/>
          <w:szCs w:val="24"/>
        </w:rPr>
        <w:t>ğ</w:t>
      </w:r>
      <w:r w:rsidRPr="00DD4343">
        <w:rPr>
          <w:rFonts w:ascii="宋体" w:eastAsia="宋体" w:hAnsi="宋体" w:cs="宋体"/>
          <w:color w:val="000000" w:themeColor="text1"/>
          <w:szCs w:val="24"/>
        </w:rPr>
        <w:t>ukan C</w:t>
      </w:r>
      <w:r w:rsidRPr="00DD4343">
        <w:rPr>
          <w:rFonts w:ascii="宋体" w:eastAsia="宋体" w:hAnsi="宋体" w:cs="宋体" w:hint="eastAsia"/>
          <w:color w:val="000000" w:themeColor="text1"/>
          <w:szCs w:val="24"/>
        </w:rPr>
        <w:t>ö</w:t>
      </w:r>
      <w:r w:rsidRPr="00DD4343">
        <w:rPr>
          <w:rFonts w:ascii="宋体" w:eastAsia="宋体" w:hAnsi="宋体" w:cs="宋体"/>
          <w:color w:val="000000" w:themeColor="text1"/>
          <w:szCs w:val="24"/>
        </w:rPr>
        <w:t>merter and Ey</w:t>
      </w:r>
      <w:r w:rsidRPr="00DD4343">
        <w:rPr>
          <w:rFonts w:ascii="宋体" w:eastAsia="宋体" w:hAnsi="宋体" w:cs="宋体" w:hint="eastAsia"/>
          <w:color w:val="000000" w:themeColor="text1"/>
          <w:szCs w:val="24"/>
        </w:rPr>
        <w:t>ü</w:t>
      </w:r>
      <w:r w:rsidRPr="00DD4343">
        <w:rPr>
          <w:rFonts w:ascii="宋体" w:eastAsia="宋体" w:hAnsi="宋体" w:cs="宋体"/>
          <w:color w:val="000000" w:themeColor="text1"/>
          <w:szCs w:val="24"/>
        </w:rPr>
        <w:t>p D</w:t>
      </w:r>
      <w:r w:rsidRPr="00DD4343">
        <w:rPr>
          <w:rFonts w:ascii="宋体" w:eastAsia="宋体" w:hAnsi="宋体" w:cs="宋体" w:hint="eastAsia"/>
          <w:color w:val="000000" w:themeColor="text1"/>
          <w:szCs w:val="24"/>
        </w:rPr>
        <w:t>ü</w:t>
      </w:r>
      <w:r w:rsidRPr="00DD4343">
        <w:rPr>
          <w:rFonts w:ascii="宋体" w:eastAsia="宋体" w:hAnsi="宋体" w:cs="宋体"/>
          <w:color w:val="000000" w:themeColor="text1"/>
          <w:szCs w:val="24"/>
        </w:rPr>
        <w:t>zg</w:t>
      </w:r>
      <w:r w:rsidRPr="00DD4343">
        <w:rPr>
          <w:rFonts w:ascii="宋体" w:eastAsia="宋体" w:hAnsi="宋体" w:cs="宋体" w:hint="eastAsia"/>
          <w:color w:val="000000" w:themeColor="text1"/>
          <w:szCs w:val="24"/>
        </w:rPr>
        <w:t>ü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n. Case Reports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Ophthalmological Medicine published by John Wiley &amp; Sons Ltd.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10.1155/crop/7580881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PMC13377523</w:t>
      </w:r>
    </w:p>
    <w:p w:rsidR="00DD4343" w:rsidRPr="00DD4343" w:rsidRDefault="00E1632D" w:rsidP="00DD4343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42491497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1632D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6C6BF8">
        <w:rPr>
          <w:rFonts w:ascii="宋体" w:eastAsia="宋体" w:hAnsi="宋体" w:cs="宋体"/>
          <w:b/>
          <w:color w:val="FF0000"/>
          <w:szCs w:val="24"/>
        </w:rPr>
        <w:t>6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 xml:space="preserve">. J Clin Tuberc Other Mycobact Dis. 2026 Jul 7;44:100632. doi: </w:t>
      </w:r>
    </w:p>
    <w:p w:rsidR="00DD4343" w:rsidRPr="00E1632D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1632D">
        <w:rPr>
          <w:rFonts w:ascii="宋体" w:eastAsia="宋体" w:hAnsi="宋体" w:cs="宋体"/>
          <w:b/>
          <w:color w:val="FF0000"/>
          <w:szCs w:val="24"/>
        </w:rPr>
        <w:t>10.1016/j.jctube.2026.100632. eCollection 2026 Aug.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Serum tuberculosis biomarkers and their association with clinical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characteristics among hospitalized adults living with HIV in Uganda.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Nakiyingi L(1)(2)(3), Kikaire B(4), Mbabazi O(5), Nabatanzi R(5), Kamulegeya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L(2), Nakabugo E(2), Bagaya B(5), Nakanjako D(1), Ssengooba W(2), Mayanja-Kizza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H(1).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(1)Department of Medicine, School of Medicine, Makerere University College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Health Sciences, Kampala, Uganda.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(2)Makerere University Biomedical Research Centre, Makerere University College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of Health Sciences, Kampala, Uganda.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(3)Infectious Diseases Institute, Makerere University College of Health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Sciences, Kampala, Uganda.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(4)Department of Pediatrics and child health, school of medicine, college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health sciences, Makerere university, Kampala, Uganda.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(5)Department of Immunology and Molecular Biology, School of Biomedical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Sciences, College of Health Sciences, Makerere University, Kampala, Uganda.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Diagnosis of pulmonary tuberculosis (PTB) among people living with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HIV (PLHIV) remains challenging, particularly in high TB/HIV burden settings. We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evaluated serum biomarkers associated with active PTB and their relationship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with TB-related clinical characteristics among hospitalized PLHIV in Uganda.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We analysed archived serum samples from adult PLHIV (n = 60)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categorized into three groups (20 each): (i) sputum culture and/or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GeneXpert-confirmed PTB (active PTB), (ii) presumptive TB with negative 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culture/GeneXpert (symptomatic PTB-negative), and (iii) asymptomatic PLHIV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attending routine HIV care (asymptomatic PLHIV controls). Inflammatory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biomarkers including C-reactive protein (CRP) and leptin as well as immune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activation markers (interferon gamma-induced protein 10 -IP-10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>β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2-microglobulin) were quantified using enzyme-linked immunosorbent assay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Bio-Plex Pro assays. Biomarker levels were compared between active PTB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TB-negative groups. Logistic regression identified biomarkers independent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associations with active PTB and Spearman rank correlation assessed biomarkers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correlations with TB-related clinical characteristics among active PTB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participants.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Median serum concentrations of IP-10 (19,566 pg/mL; p = 0.001),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>β</w:t>
      </w:r>
      <w:r w:rsidRPr="00DD4343">
        <w:rPr>
          <w:rFonts w:ascii="宋体" w:eastAsia="宋体" w:hAnsi="宋体" w:cs="宋体"/>
          <w:color w:val="000000" w:themeColor="text1"/>
          <w:szCs w:val="24"/>
        </w:rPr>
        <w:t>2-microglobulin (33.9 ng/mL; p = 0.023), and C</w:t>
      </w:r>
      <w:r w:rsidR="00E1632D">
        <w:rPr>
          <w:rFonts w:ascii="宋体" w:eastAsia="宋体" w:hAnsi="宋体" w:cs="宋体"/>
          <w:color w:val="000000" w:themeColor="text1"/>
          <w:szCs w:val="24"/>
        </w:rPr>
        <w:t xml:space="preserve">RP (1.77 mg/dL; p = 0.05) were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significantly higher among active PTB participants compared to symptomatic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PTB-negatives and asymptomatic PLHIV controls. Conversely, leptin levels were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significantly lower in the active PTB (35.0 pg/mL) than in asymptomatic PLHIV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controls (102.4 pg /mL; p = 0.001). IP-10 (adjuste</w:t>
      </w:r>
      <w:r w:rsidR="00E1632D">
        <w:rPr>
          <w:rFonts w:ascii="宋体" w:eastAsia="宋体" w:hAnsi="宋体" w:cs="宋体"/>
          <w:color w:val="000000" w:themeColor="text1"/>
          <w:szCs w:val="24"/>
        </w:rPr>
        <w:t xml:space="preserve">d odds ratio-aOR 2.74; 95% CI: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1.54-4.88; p &lt; 0.001) and β2-microglobulin (aOR 2.09; 95% CI: 1.13-3.86;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 = 0.019) were the strongest independent predictors of active PTB. Biomarker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concentrations did not correlate significantly with TB-related clinical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characteristics.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IP-10, β2-microglobulin, and CRP were elevated in PLHIV with active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PTB, whereas leptin levels were reduced. These biomarkers did not correlate with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clinical characteristics. Our findings show that serum biomarkers may aid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identifying PTB among hospitalized PLHIV but with limited value in assessing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clinical presentation. Further research is warranted to rigorously evaluate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their diagnostic performance in both simple and combined biomarkers models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to evaluate their point-of-care utility for TB screening and timely treatment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initiation in hospitalized PLHIV.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10.1016/j.jctube.2026.100632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PMC13377222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42491372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1632D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lastRenderedPageBreak/>
        <w:t>5</w:t>
      </w:r>
      <w:r w:rsidR="008043D7">
        <w:rPr>
          <w:rFonts w:ascii="宋体" w:eastAsia="宋体" w:hAnsi="宋体" w:cs="宋体"/>
          <w:b/>
          <w:color w:val="FF0000"/>
          <w:szCs w:val="24"/>
        </w:rPr>
        <w:t>7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>. Cureus. 2026 Jun 17;18(6):e111014. doi: 10.7759/c</w:t>
      </w:r>
      <w:r w:rsidR="00E1632D" w:rsidRPr="00E1632D">
        <w:rPr>
          <w:rFonts w:ascii="宋体" w:eastAsia="宋体" w:hAnsi="宋体" w:cs="宋体"/>
          <w:b/>
          <w:color w:val="FF0000"/>
          <w:szCs w:val="24"/>
        </w:rPr>
        <w:t xml:space="preserve">ureus.111014. eCollection 2026 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>Jun.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Surgical Third Nerve Palsy as a Rare Presentation of Tuberculous Meningitis: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Early Clinical Judgement and Advanced Imaging.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Megat Mohamad Aminuddin PNA(1), Adenan MS(2), Achmad H(3), Nahrowi FS(1).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(1)Internal Medicine, Hospital Kuala Lumpur, Kuala Lumpur, MYS.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(2)Neurology, Hospital Kuala Lumpur, Kuala Lumpur, MYS.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(3)Radiology, Hospital Kuala Lumpur, Kuala Lumpur, MYS.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 22-year-old man from Bangladesh presented with a subacute febrile illness, 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history of frontal headache, neuropsychiatric changes, and a right third nerve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palsy (ptosis and mydriasis). Neuroimaging revealed hydrocephalus and multifocal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cerebral infarcts. Cerebrospinal fluid (CSF) analysis showed elevated protein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with normal glucose; however, all initial microbiological assays, including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GeneXpert MTB/RIF (Mycobacterium tuberculosis/rifampicin) and culture, were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negative. A clinical diagnosis of tuberculous meningitis (TBM) was made based 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 clinical presentation, neuroimaging progression, and epidemiological risk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factors. Treatment commenced with anti-tubercular therapy and high-dose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steroids. His neurological symptoms markedly improved with medical management,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averting the need for neurosurgical intervention for hydrocephalus. This case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underscores that TBM can present with an isolated cranial nerve deficit.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Therefore, a high clinical index of suspicion is paramount, and treatment should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not be delayed.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2026, Megat Mohamad Aminuddin et al.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10.7759/cureus.111014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PMC13377397</w:t>
      </w:r>
    </w:p>
    <w:p w:rsidR="00DD4343" w:rsidRPr="00DD4343" w:rsidRDefault="00E1632D" w:rsidP="00DD4343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42491326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1632D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8043D7">
        <w:rPr>
          <w:rFonts w:ascii="宋体" w:eastAsia="宋体" w:hAnsi="宋体" w:cs="宋体"/>
          <w:b/>
          <w:color w:val="FF0000"/>
          <w:szCs w:val="24"/>
        </w:rPr>
        <w:t>8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>. Niger Med J. 2026 Mar 26;66(6):2276-2285. eCollection 2025 Nov-Dec.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Occurrence of Chronic Pulmonary Aspergillosis in Pulmonary Tuberculosis: 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Hospital-Based Cross-Sectional Study.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Priyadarshani S(1), Choubey S(1), Ejazi A(1), Shankar M(1), Kumar S(1), Kumari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R(1).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(1)Indira Gandhi Institute of Medical Sciences, Patna, Bihar, India-800014.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Chronic pulmonary aspergillosis (CPA) is a recognized complication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 patients with pulmonary tuberculosis, particularly in high TB burden regions.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Misdiagnosis and inappropriate treatment occur due to overlapping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clinicoradiological features, leading to increased morbidity and mortality. Data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on CPA occurrence and its association with PTB in tertiary care settings remain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limited in resource-constrained countries.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This study enrolled 143 adults from outpatient and inpatient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departments. Newly and previously diagnosed PTB patients were included. The CPA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diagnosis was based on symptoms lasting over three months, radiological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findings, and microbiological/immunological evidence using Aspergillus IgG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BAL galactomannan testing. Data were analyzed using STATA 14.0. Descriptive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statistics summarized demographic and clinical data, and comparative analyses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between CPA and non-CPA groups used chi-square or Fisher's exact tests for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categorical variables and Student's t-test for continuous variables.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CPA was diagnosed in 34.3% (49/143) of PTB patients. The CPA cohort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showed male predominance (male-to-female ratio, 4:1), with associations with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diabetes mellitus (70.8%, p=0.038) and post-tuberculosis lung disease (61.4%,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p=0.040). Radiological features, including cavitation (47.4%, p=0.009),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aspergilloma (55.9%, p=0.009), and infiltrates (72.3%, p=0.10) were more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frequent in CPA patients. Aspergillus-specific IgG was positive in 69.4%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(p&lt;0.001) and BAL galactomannan in 43.9% (p&lt;0.001) of CPA patients.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CPA is prevalent among PTB patients, especially those with 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history and comorbidities like diabetes. Integrated diagnostic approaches,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including immunological and antigen testing, are recommended to improve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differentiation and management in resource-limited settings.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 Nigerian Medical Association.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PMC13391098</w:t>
      </w:r>
    </w:p>
    <w:p w:rsidR="00DD4343" w:rsidRPr="00DD4343" w:rsidRDefault="00E1632D" w:rsidP="00DD4343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42488861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1632D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8043D7">
        <w:rPr>
          <w:rFonts w:ascii="宋体" w:eastAsia="宋体" w:hAnsi="宋体" w:cs="宋体"/>
          <w:b/>
          <w:color w:val="FF0000"/>
          <w:szCs w:val="24"/>
        </w:rPr>
        <w:t>9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 xml:space="preserve">. Open Forum Infect Dis. 2026 Jul 10;13(7):ofag392. doi: 10.1093/ofid/ofag392. </w:t>
      </w:r>
    </w:p>
    <w:p w:rsidR="00DD4343" w:rsidRPr="00E1632D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1632D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Delays in Tuberculosis Treatment Among People With Pulmonary Tuberculosis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East Africa: Findings From a Prospective Cohort Study.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Prabhudas-Strycker K(1)(2), Diero L(3)(4), Muyindike W(5)(6), Byakwaga H(7),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Kitur S(4), Mining'wo J(4), Ssekyanzi B(6), Byaruhanga A(6), Kooreman H(8),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Pabon-Rodriguez F(8), Truong HM(9), Lewis Kulzer J(10), Ochomo E(11), Odhiambo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F(11), Goodrich S(2)(4), Semeere A(7), Navuluri N(12)(13), Wools-Kaloustian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K(2)(4)(14), Enane LA(1)(14).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(1)The Ryan White Center for Pediatric Infectious Disease and Global Health,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Department of Pediatrics, Indiana University School of Medicine, Indianapolis,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Indiana,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(2)Division of Infectious Diseases, Department of Medicine, Indiana University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School of Medicine, Indianapolis, Indiana,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(3)Department of Medicine, Moi University College of Health Sciences, Eldoret,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Kenya.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(4)Academic Model Providing Access to Healthcare (AMPATH), Eldoret, Kenya.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(5)Department of Internal Medicine, Faculty of Medicine, Mbarara University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Science and Technology, Mbarara, Uganda.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(6)Mbarara Regional Referral Hospital, Mbarara, Uganda.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(7)Infectious Diseases Institute, Makerere University College of Health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Sciences, Kampala, Uganda.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(8)Department of Biostatistics and Health Data Science, Indiana University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School of Medicine, Indianapolis, Indiana,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(9)Department of Medicine, University of California, SanFrancisco, San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Francisco, California,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(10)Department of Obstetrics, Gynecology and Reproductive Sciences, University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of California, SanFrancisco, San Francisco, California,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(11)Centre for Microbiology Research, Research Care and Training Program, Kenya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Medical Research Institute, Nairobi, Kenya.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(12)Division of Pulmonary, Allergy, and Critical Care Medicine, Department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Medicine, Duke University School of Medicine, Durham, North Carolina,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(13)Duke Global Health Institute, Duke University, Durham, North Carolina,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(14)Center for Global Health, Indiana University, Indianapolis, Indiana,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Although timely tuberculosis (TB) diagnosis and treatment are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essential to TB elimination, care delays remain a challenge. Understanding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factors associated with delayed TB diagnosis and treatment may inform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interventions.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The TB Sentinel Research Network of the International epidemiology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 xml:space="preserve">Databases to Evaluate AIDS (IeDEA) is a prospective study of people aged ≥15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years with pulmonary TB. At sites in Eldoret, Kenya, and Mbarara, Uganda,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questionnaires ascertained timing of recalled TB symptom onset, number/setting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of healthcare visits prior to TB diagnosis, symptoms, demographics, food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insecurity, and TB- and HIV-related stigma. Robust negative binomial regression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was used to examine factors associated with longer overall duration from 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symptom onset to documented treatment initiation.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RESULTS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: Among 264 participants-median age 33 years (IQR, 25-43 years), 67%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male, 31% people with HIV, 51% urban residents-median duration from TB symptom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onset to treatment initiation was 65.5 days (IQR, 33-131 days). Longer time 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TB treatment was associated with female sex (adjusted incidence rate ratio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[aIRR], 1.27 [95% CI, 1.00-1.61]); previous care-seeking at a pharmacy (aIRR,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1.53 [95% CI, 1.22-1.92]), and presence of dyspnea (aIRR, 1.43 [95% CI,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1.09-1.86]) or fatigue (aIRR, 1.63 [95% CI, 1.11-2.37]) at initiation. Shorter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duration to TB treatment was associated with HIV-positive status (aIRR, 0.50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[95% CI, .39-.64]). Among people with HIV, shorter duration to TB treatment was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associated with CD4 count &lt;200</w:t>
      </w:r>
      <w:r w:rsidRPr="00DD4343"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 w:rsidRPr="00DD4343">
        <w:rPr>
          <w:rFonts w:ascii="宋体" w:eastAsia="宋体" w:hAnsi="宋体" w:cs="宋体"/>
          <w:color w:val="000000" w:themeColor="text1"/>
          <w:szCs w:val="24"/>
        </w:rPr>
        <w:t>cells/</w:t>
      </w:r>
      <w:r w:rsidRPr="00DD4343">
        <w:rPr>
          <w:rFonts w:ascii="宋体" w:eastAsia="宋体" w:hAnsi="宋体" w:cs="宋体" w:hint="eastAsia"/>
          <w:color w:val="000000" w:themeColor="text1"/>
          <w:szCs w:val="24"/>
        </w:rPr>
        <w:t>μ</w:t>
      </w:r>
      <w:r w:rsidRPr="00DD4343">
        <w:rPr>
          <w:rFonts w:ascii="宋体" w:eastAsia="宋体" w:hAnsi="宋体" w:cs="宋体"/>
          <w:color w:val="000000" w:themeColor="text1"/>
          <w:szCs w:val="24"/>
        </w:rPr>
        <w:t>L (aIRR, 0.63 [95% CI, .43-.93]).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Interventions are needed to increase community-level TB diagnostic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access, including at pharmacies and lower levels of care. Decentralized 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testing strategies and tailored interventions for groups with lower care access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should be pursued.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Infectious Diseases Society of America.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10.1093/ofid/ofag392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PMC13390746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42488721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1632D" w:rsidRDefault="008043D7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60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>. Cureus. 2026 Jun 22;18(6):e111298. doi: 10.7759/c</w:t>
      </w:r>
      <w:r w:rsidR="00E1632D" w:rsidRPr="00E1632D">
        <w:rPr>
          <w:rFonts w:ascii="宋体" w:eastAsia="宋体" w:hAnsi="宋体" w:cs="宋体"/>
          <w:b/>
          <w:color w:val="FF0000"/>
          <w:szCs w:val="24"/>
        </w:rPr>
        <w:t xml:space="preserve">ureus.111298. eCollection 2026 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>Jun.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Lumbosacral Spinal Tuberculosis: Clinical Spectrum, Diagnostic Challenges,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Short-Term Management Outcomes in an Elderly Cohort.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Kag Y(1), Singh A(2), Khandelwal S(3), Jain MK(1), Jain M(4).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(1)General Medicine, LN Medical College and Research Center, Bhopal, IND.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(2)Neurology, LN Medical College and Research Center, Bhopal, IND.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(3)Neurosurgery, LN Medical College and Research Center, Bhopal, IND.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(4)Radiology, LN Medical College and Research Center, Bhopal, IND.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Spinal tuberculosis most commonly affects the thoracic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thoracolumbar spine, whereas lumbosacral involvement is uncommon and may mimic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degenerative lumbar spine disorders, often resulting in delayed diagnosis. This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study describes the clinical presentation, radiological characteristics,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diagnostic challenges, and short-term management outcomes of patients with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lumbosacral spinal tuberculosis.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A retrospective observational study was conducted at a tertiary care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center between November 2024 and April 2025. A total of 52 patients with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suspected infective spinal pathology presenting with chronic non-traumatic low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back pain and/or neurological symptoms were evaluated; 19 were diagnosed with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spinal tuberculosis. Six patients with lower lumbar or lumbosacral involvement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were included in this case series. Clinical features, laboratory findings,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imaging characteristics, treatment strategies, and short-term follow-up outcomes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were reviewed.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Of the 19 patients diagnosed with spinal tuberculosis, six (31.6%)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demonstrated lumbosacral involvement. Patient age ranged from 47 to 83 years,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with five patients aged above 60 years. Clinical presentations included chronic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low back pain, radiculopathy, neurogenic claudication, motor weakness,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bowel/bladder dysfunction. MRI demonstrated spondylodiscitis with paradiscal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involvement in all cases, while prevertebral or psoas collections were observed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 two patients. Five patients underwent surgical decompression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stabilization in addition to antitubercular therapy (ATT), whereas one patient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was managed conservatively. All patients demonstrated short-term clinical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improvement or stabilization during follow-up.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Lumbosacral spinal tuberculosis may present with diverse clinical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manifestations that closely resemble degenerative lumbar spine disorders,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creating significant diagnostic challenges. Early MRI evaluation and a high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index of clinical suspicion are essential for timely diagnosis and treatment.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Awareness of this atypical anatomical pattern is essential for timely,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multidisciplinary management. These findings are descriptive and intended 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generate hypotheses for future prospective research.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2026, Kag et al.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10.7759/cureus.111298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PMC13390883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42488243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1632D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8043D7">
        <w:rPr>
          <w:rFonts w:ascii="宋体" w:eastAsia="宋体" w:hAnsi="宋体" w:cs="宋体"/>
          <w:b/>
          <w:color w:val="FF0000"/>
          <w:szCs w:val="24"/>
        </w:rPr>
        <w:t>1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>. Cureus. 2026 Jun 21;18(6):e111266. doi: 10.7759/c</w:t>
      </w:r>
      <w:r w:rsidR="00E1632D" w:rsidRPr="00E1632D">
        <w:rPr>
          <w:rFonts w:ascii="宋体" w:eastAsia="宋体" w:hAnsi="宋体" w:cs="宋体"/>
          <w:b/>
          <w:color w:val="FF0000"/>
          <w:szCs w:val="24"/>
        </w:rPr>
        <w:t xml:space="preserve">ureus.111266. eCollection 2026 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>Jun.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From Granulomas to Malignancy: Validating the Sydney System in 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Tuberculosis-Endemic Landscape.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Mandal J(1), Pathak S(2), Tirkey AS(2), Sen S(3), Karmakar M(1), Banerjee N(4),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Roy S(5), Bhattacharjee N(5).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(1)Pathology, C K Birla Hospital, The Calcutta Medical Research Institute,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Kolkata, IND.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(2)Pathology, Mahatma Gandhi Memorial (MGM) Medical College and Hospital,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Jamshedpur, IND.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(3)Laboratory Medicine, C K Birla Hospital, The Calcutta Medical Research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Institute, Kolkata, IND.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(4)Histopathology, C K Birla Hospital, The Calcutta Medical Research Institute,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Kolkata, IND.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(5)Microbiology, C K Birla Hospital, The Calcutta Medical Research Institute,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Kolkata, IND.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The Sydney System for reporting lymph node cytopathology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standardizes lymph node fine-needle aspiration cytology (FNAC) reporting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improves risk-based clinical stratification. Validation data from tuberculosis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(TB)-endemic regions remain limited.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MATERIALS AND METHODS: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This retrospective observational multicentric study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analyzed 427 consecutive lymph node FNAC cases from two tertiary care centers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Eastern India during January-December 2025. Three independent pathologists,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reviewing slides at separate time points, categorized aspirates according to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Sydney System (L1-L5), blinded to clinical details and to each other's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assignments. Histopathology and Ziehl-Neelsen staining served as reference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standards. Diagnostic accuracy parameters with 95% confidence intervals (Wilson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score method), receiver operating characteristic (ROC) analysis, category-wise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risk of malignancy (ROM), TB correlation with a complete 2 × 2 matrix,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interobserver agreement (Cohen's kappa) were assessed.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Cervical lymph nodes constituted 357 (83.6%) cases. Reactive,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granulomatous, and necrotizing lymphadenitis accounted for the majority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diagnoses; malignant lesions accounted for 39 cases (9.1%). The L2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(benign/reactive) category constituted the overwhelming majority of cases, with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 mean of 384 (89.9%) across pathologists out of 427 cases. Per-pathologist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sensitivity ranged from 79.5% to 84.6%; specificity was 99.7% across all three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observers; positive predictive value was 96.9-97.1%; negative predictive value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was 98.0-98.5%; and overall accuracy was 97.9-98.4%. ROC analysis demonstrated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excellent discriminatory performance (AUC range: 0.935-0.974). ROM increased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progressively from L2 to L5. Interobserver agreement was substantial to almost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perfect (κ</w:t>
      </w:r>
      <w:r w:rsidRPr="00DD434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D4343">
        <w:rPr>
          <w:rFonts w:ascii="宋体" w:eastAsia="宋体" w:hAnsi="宋体" w:cs="宋体"/>
          <w:color w:val="000000" w:themeColor="text1"/>
          <w:szCs w:val="24"/>
        </w:rPr>
        <w:t>=</w:t>
      </w:r>
      <w:r w:rsidRPr="00DD434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0.79-0.87). Among L2 cases, the sensitivity for TB capture was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98.6%; however, the PPV of L2 for TB was only 19.2%, and specificity was 13.0%,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with 307 (80.8%) cases of granulomatous L2 findings attributable to non-TB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aetiologies.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The Sydney System demonstrates excellent diagnostic accuracy,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reproducibility, and clinically meaningful ROM stratification in a TB-endemic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setting. Granulomatous cytomorphology alone is insufficient for TB diagnosis;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microbiological confirmation is mandatory before assigning an L2 classification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to TB.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2026, Mandal et al.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10.7759/cureus.111266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PMC13389425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42488240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1632D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8043D7">
        <w:rPr>
          <w:rFonts w:ascii="宋体" w:eastAsia="宋体" w:hAnsi="宋体" w:cs="宋体"/>
          <w:b/>
          <w:color w:val="FF0000"/>
          <w:szCs w:val="24"/>
        </w:rPr>
        <w:t>2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 xml:space="preserve">. Front Public Health. 2026 Jul 8;14:1892055. doi: 10.3389/fpubh.2026.1892055. </w:t>
      </w:r>
    </w:p>
    <w:p w:rsidR="00DD4343" w:rsidRPr="00E1632D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1632D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Tuberculosis in prisons: an integrated prevention and care cascade for 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persistent structural epidemic.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Cagua-Ordoñez J(1), Parise-Vasco JM(1), Angamarca-Iguago J(1), Fuentes-Tumbaco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NB(2), Simancas-Racines D(1).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(1)Center for Evidence, Implementation, and Health Decision-Making (CIDES),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Facultad de Ciencias de la Salud y Bienestar Humano, Universidad Tecnológica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Indoamérica, Ambato, Ecuador.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(2)Laboratorio clínico, Unidad de Apoyo Diagnóstico, Hospital Pablo Arturo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Suárez, Quito, Ecuador.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Tuberculosis (TB) remains disproportionately concentrated in prison populations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worldwide, driven by overcrowding, poor ventilation, HIV co-infection, delayed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diagnosis, treatment interruption, social vulnerability, and weak integration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between correctional health services and national TB programs. This structured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narrative review synthesizes current evidence across the prison TB prevention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care cascade, including screening, diagnosis, treatment, transmission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reduction, TB/HIV integration, surveillance, and continuity after release. We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conducted an expert-led narrative synthesis informed by systematic-review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principles, distinguishing direct prison-specific evidence from mathematical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modeling, policy guidance, systematic reviews, and indirect evidence from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adjacent fields such as HIV care and TB infection treatment. Symptom screening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alone has limited sensitivity in high-burden prisons. Digital chest radiography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with computer-aided detection can improve case detection when linked 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confirmatory molecular testing and treatment capacity. Xpert MTB/RIF or Ultra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are central to rapid confirmation and rifampicin-resistance detection. Shorter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rifamycin-based regimens for TB infection generally achieve higher completion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than longer isoniazid-based regimens, while shorter all-oral MDR/RR-TB regimens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may offer programmatic advantages but remain insufficiently studied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correctional settings. Ventilation improvement, safer spaces, peer-supported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case detection, and integrated TB/HIV services are important components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transmission reduction. Decongestion may have substantial population-level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impact, but this conclusion is supported mainly by mathematical modeling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should be interpreted as a projected effect rather than direct prison-specific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causal evidence. Post-release continuity remains a major implementation gap,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with limited direct evidence for active TB interventions. Sustainable prison 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control requires moving from isolated activities to an integrated, measurable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prison-community cascade linking risk-adapted screening, rapid diagnosis,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effective treatment, environmental controls, data systems, and confirmed linkage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to community care after release.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Copyright © 2026 Cagua-Ordoñez, Parise-Vasco, Angamarca-Iguago, Fuentes-Tumbaco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and Simancas-Racines.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10.3389/fpubh.2026.1892055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PMC13388753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42487804 [Indexed for MEDLINE]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1632D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8043D7">
        <w:rPr>
          <w:rFonts w:ascii="宋体" w:eastAsia="宋体" w:hAnsi="宋体" w:cs="宋体"/>
          <w:b/>
          <w:color w:val="FF0000"/>
          <w:szCs w:val="24"/>
        </w:rPr>
        <w:t>3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>. East Mediterr Health J. 2026 Jun 28;32(6):375-382. doi: 10.26719/2026.32.6.375.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Diagnostic accuracy of GeneXpert Ultra for tuberculosis in weakly positive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results.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Shaghaghian S(1), Eilami O(2), Ghahramani N(3), Hedayati H(4), Moradian MJ(5),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Sadeghi E(6), Zarei Z(7), Nejat M(8), Javanmardi S(8).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(1)Communicable Diseases Unit, Shohada-e-Enghelab Health Center, Shiraz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University of Medical Sciences, Shiraz, Islamic Republic of Iran.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(2)HIV/ AIDS Research Center, Institute of Health, Shiraz University of Medical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Sciences, Shiraz, Islamic Republic of Iran.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(3)HIV/AIDS Center, Communicable Diseases Unit, Shohada-e-Enghelab Health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Center, Shiraz University of Medical Sciences, Shiraz, Islamic Republic of Iran.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(4)Department of Family Medicine, School of Medicine, Shiraz University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Medical Sciences, Shiraz, Islamic Republic of Iran.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(5)Department of Health in Disasters and Emergencies, School of Health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Management and Information Sciences, Shiraz University of Medical Sciences,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Shiraz, Islamic Republic of Iran.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(6)Department of Biostatistics, School of Medicine, Shiraz University of Medical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Sciences, Shiraz, Islamic Republic of Iran.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(7)Tuberculosis Referral Laboratory, Shohada-e-Enghelab Health Center, Shiraz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University of Medical Sciences, Shiraz, Islamic Republic of Iran.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(8)Vice-Chancellery for health, Shiraz University of Medical Sciences, Shiraz,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Islamic Republic of Iran.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BACKGROUND: T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he GeneXpert Ultra assay has improved sensitivity for tuberculosis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diagnosis, but it is associated with an increased rate of false positive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results, particularly in weakly positive categories.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AIM: To assess the diagnostic accuracy of the GeneXpert Ultra assay by comparing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3 approaches to interpreting weakly positive results.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We collected laboratory data from 620 (all) individuals referred to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tuberculosis laboratory affiliated with Shiraz University of Medical Sciences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laboratory, southern Islamic Republic of Iran, between 21 March 2022 and 20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March 2023. We performed GeneXpert Ultra, acid-fast bacilli smear microscopy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culture, and used results from the culture as reference standard for calculating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diagnostic accuracy indices. We analysed the weakly positive results (trace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very low) using 3 approaches in which they were classified as positive 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negative, or excluded from the analysis. We used SPSS version 22.0 to describe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 characteristics of the participants, MedCalc version 20.104 to analyse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data and 2-tailed binomial test to compare the diagnostic indices. P &lt; 0.05 was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considered statistically significant.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GeneXpert 1 showed a low positive predictive value (68.60%) and lower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specificity (90.72%) than smear microscopy (95.46%). Compared with GeneXpert 2,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GeneXpert 1 demonstrated higher sensitivity (98.99%) and negative predictive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value (99.77%), while GeneXpert 2 showed higher specificity (97.32%)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positive predictive value (87.66%). GeneXpert 3 showed high sensitivity (98.92%)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negative predictive value (99.77%), as well as high specificity (97.13%)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positive predictive value (87.60%), resulting in the highest overall accuracy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(97.43%) and agreement with culture (Fleiss' kappa = 0.91).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CONCLUSION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: Weakly positive GeneXpert Ultra results should not be interpreted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automatically as either negative or positive. Clinic, laboratory and radiologic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data should be considered together to identify patients most likely to benefit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from tuberculosis treatment.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Copyright © Authors 2026; Licensee: World Health Organization. EMHJ is an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open-access journal. This paper is available under the Creative Commons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Attribution Non-Commercial ShareAlike 3.0 IGO licence (CC BY-NC-SA 3.0 IGO;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https://creativecommons.org/licenses/by-nc-sa/3.0/igo).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10.26719/2026.32.6.375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42487377 [Indexed for MEDLINE]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1632D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8043D7">
        <w:rPr>
          <w:rFonts w:ascii="宋体" w:eastAsia="宋体" w:hAnsi="宋体" w:cs="宋体"/>
          <w:b/>
          <w:color w:val="FF0000"/>
          <w:szCs w:val="24"/>
        </w:rPr>
        <w:t>4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 xml:space="preserve">. Rev Soc Bras Med Trop. 2026 Jul 17;59(suppl 1):e05702025. doi: </w:t>
      </w:r>
    </w:p>
    <w:p w:rsidR="00DD4343" w:rsidRPr="00E1632D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1632D">
        <w:rPr>
          <w:rFonts w:ascii="宋体" w:eastAsia="宋体" w:hAnsi="宋体" w:cs="宋体"/>
          <w:b/>
          <w:color w:val="FF0000"/>
          <w:szCs w:val="24"/>
        </w:rPr>
        <w:t>10.1590/0037-8682-0570-2025. eCollection 2026.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Scaling Up Tuberculosis Preventive Treatment in the Brazilian Amazon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(2016-2024): a Programmatic Report on Multi-sector Integration in Surveillance,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Health Services and Academia.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Pinheiro JDS(1)(2)(3)(4), Assis LBO(1)(3)(4)(5), Baia-da-Silva DC(6)(7),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Oliveira VC(1)(2), Garcia LS(1)(2), Spener-Gomes R(1)(2)(8), Aguiar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AFS(1)(2)(4), Rocha AC(3)(4), Souza AB(1)(2), Costa AG(1)(2)(8)(9), Sicsú AN(1),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Ramos FRS(1)(2)(10), Andrade BB(11)(12)(13)(14), Cordeiro-Santos M(1)(2)(7).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(1)Universidade do Estado do Amazonas, Manaus, AM, Brasil.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(2)Fundação de Medicina Tropical Dr. Heitor Vieira Dourado, Manaus, AM, Brasil.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(3)Fundação de Vigilância em Saúde Dra. Rosemary Costa Pinto, Manaus, AM,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Brasil.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(4)Secretaria Municipal de Saúde de Manaus, Manaus, AM, Brasil.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(5)Universidade Federal de Santa Catarina, Florianópolis, SC, Brasil.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(6)Fundação Oswaldo Cruz Amazônia, Instituto Leônidas e Maria Deane, Manaus, AM,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Brasil.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(7)Universidade Nilton Lins, Manaus, AM, Brasil.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(8)Universidade Federal do Amazonas, Manaus, AM, Brasil.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(9)Fundação Hospitalar de Hematologia e Hemoterapia do Amazonas, Manaus, AM,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Brasil.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(10)Universidade do Estado de Santa Catarina, Florianópolis, SC, Brasil.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(11)Johns Hopkins University, School of Medicine, Division of Infectious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Diseases, Baltimore, Maryland, USA.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(12)Instituto MONSTER de Ensino, Assistência, Pesquisa e Desenvolvimento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Tecnológico em Saúde, Salvador, BA, Brasil.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(13)Instituto de Pesquisa Clínica e Translacional, Medicina Zarns, Clariens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Educação, Salvador, BA, Brasil.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(14)Fundação Oswaldo Cruz, Instituto Gonçalo Moniz, Laboratório de Pesquisa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Clínica e Translacional, Salvador, BA, Brasil.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Tuberculosis (TB) remains a major public health challenge in Brazil,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particularly in the state of Amazonas, where geographic, socioeconomic,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health system barriers hinder the implementation of TB preventive treatment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(TPT). This study describes the scale-up of TPT, supported by integrated actions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across surveillance, health services, and academia in this high-burden setting.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We conducted a retrospective implementation analysis of TPT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Amazonas, Brazil (2016-2024), using data from the IL-TB system, SINAN-TB,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HIV/AIDS Clinical Monitoring Panel. A structured set of indicators was used 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assess TPT delivery, decentralization, diagnostic practices, regimen uptake,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treatment outcomes. Proportions and rates were estimated with 95% confidence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intervals (95% CI).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 total of 8,120 individuals initiated TPT, including 5,001 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contacts, whereas more than 70,000 contacts were recorded in the SINAN-TB.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Following the IL-TB implementation in 2019, the indicators showed a sustained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expansion of TPT delivery. By 2024, TPT initiation among contacts reached 18.4%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(95% CI: 17.6-19.3), and 959 PLHIV initiated TPT, corresponding to 441.33 per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1,000 antiretroviral therapy. The proportion of TPT initiation in primary health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care increased from 19.3% (95% CI: 13.8-26.4) in 2018 to 55.2% (95% CI: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53.3-57.1) in 2024. Use of 3HP (weekly rifapentine plus isoniazid for three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months) rose from 12.7% (95% CI: 10.6-15.1) in 2021 to 93.3% (95% CI: 92.3-94.2)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 2024. Completion reached 84.8% (95% CI: 82.9-86.6) and remained above 80%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thereafter.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CONCLUSIONS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: TPT scale-up in Amazonas was accompanied by expanded access,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greater decentralization, and rapid adoption of shortened regimens, although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important coverage gaps among priority populations remain.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10.1590/0037-8682-0570-2025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PMC13379189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42484260 [Indexed for MEDLINE]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1632D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8043D7">
        <w:rPr>
          <w:rFonts w:ascii="宋体" w:eastAsia="宋体" w:hAnsi="宋体" w:cs="宋体"/>
          <w:b/>
          <w:color w:val="FF0000"/>
          <w:szCs w:val="24"/>
        </w:rPr>
        <w:t>5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 xml:space="preserve">. Front Digit Health. 2026 Jul 7;8:1829739. doi: 10.3389/fdgth.2026.1829739. </w:t>
      </w:r>
    </w:p>
    <w:p w:rsidR="00DD4343" w:rsidRPr="00E1632D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1632D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 overview of mobile health applications (mHealth apps) supporting Tuberculosis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elimination efforts.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Nagarajan K(1)(2), Rajamani N(3), Muniappan S(3), Jeyachithra AV(3),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Santhoshkumar Y(1), Verma A(4), Stephen A(5), Muniyandi M(2)(6).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(1)Department of Socio-Behavioural Research, ICMR-National Institute for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Research in Tuberculosis, Chennai, Tamil Nadu,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(2)Academy of Scientific &amp; Innovative Research, CSIR-HRDC Campus, Ghaziabad,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Uttar Pradesh,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(3)SRM School of Public Health, SRM Institute of Science and Technology,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Kattankulathur, Tamil Nadu,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(4)Centre for Social and Behaviour Change, Ashoka University, Delhi,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(5)Division of Human Resource Development, Indian Council of Medical Research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Headquarters, New Delhi,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(6)Department of Health Economics, ICMR-National Institute for Research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Tuberculosis, Chennai, Tamil Nadu,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The rapid advancement of mobile health applications (mHealth Apps)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is increasingly realised for their transformative potential in strengthening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healthcare systems, patient centred approaches and improving TB elimination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efforts.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To provide a landscape overview of mHealth Apps which are operational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to support the TB elimination efforts with reference to specific functionalities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that support either persons with TB or healthcare providers.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We conducted a systematic search of the Google Play and Apple App Store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to collect mHealth Apps developed for TB care and management. Information 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features of the mHealth Apps were collected based on the WHO Classification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Digital Interventions, Services and Applications in Health. App purpose,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functionality and target audience were synthesised from App descriptions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classified based on the framework. The mHealth Apps were summarized in frequency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and percentages.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Of 196 Apps identified, based on inclusion and exclusion criteria, 48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were included for the final analysis. When categorised by the intended users, 22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(46%) were health worker oriented, 10 (21%) were beneficiary focused and 16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(33%) were intended for a mixed audience. On demand information for beneficiary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personal health tracking feature was available in 18(38%) and 14 (29%)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 Apps, respectively. Telemedicine, laboratory management features were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available in less than one-fifth of Apps. Features for health worker decision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support, referral coordination and data interoperability were very low. There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were no features with respect to human resource and supply chain and health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financing.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1632D">
        <w:rPr>
          <w:rFonts w:ascii="宋体" w:eastAsia="宋体" w:hAnsi="宋体" w:cs="宋体"/>
          <w:b/>
          <w:color w:val="000000" w:themeColor="text1"/>
          <w:szCs w:val="24"/>
        </w:rPr>
        <w:t>CONCLUSION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: There is a need for developing more community centric and frontline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worker oriented Apps through participatory co-designing involving people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affected by TB, community organisations and frontline health workers for guiding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the development in future.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2026 Nagarajan, Rajamani, Muniappan, Jeyachithra, Santhoshkumar, Verma,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Stephen and Muniyandi.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10.3389/fdgth.2026.1829739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PMC13385031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42483427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1632D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8043D7">
        <w:rPr>
          <w:rFonts w:ascii="宋体" w:eastAsia="宋体" w:hAnsi="宋体" w:cs="宋体"/>
          <w:b/>
          <w:color w:val="FF0000"/>
          <w:szCs w:val="24"/>
        </w:rPr>
        <w:t>6</w:t>
      </w:r>
      <w:r w:rsidR="00DD4343" w:rsidRPr="00E1632D">
        <w:rPr>
          <w:rFonts w:ascii="宋体" w:eastAsia="宋体" w:hAnsi="宋体" w:cs="宋体"/>
          <w:b/>
          <w:color w:val="FF0000"/>
          <w:szCs w:val="24"/>
        </w:rPr>
        <w:t xml:space="preserve">. J Family Med Prim Care. 2026 May;15(5):2140-2142. doi: </w:t>
      </w:r>
    </w:p>
    <w:p w:rsidR="00DD4343" w:rsidRPr="00E1632D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1632D">
        <w:rPr>
          <w:rFonts w:ascii="宋体" w:eastAsia="宋体" w:hAnsi="宋体" w:cs="宋体"/>
          <w:b/>
          <w:color w:val="FF0000"/>
          <w:szCs w:val="24"/>
        </w:rPr>
        <w:t>10.4103/jfmpc.jfmpc_1605_24. Epub 2026 Jun 18.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Lupus enteritis: A rare masquerade of intestinal tuberculosis.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Sawale S(1), Datta A(1), Malik A(1), Sangma LCM(1), Kumari P(1), Kumar R(2),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Sarangi PK(3), Bohra HR(4).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(1)Department of Pulmonary Medicine, AIIMS, Deoghar, Jharkhand,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(2)Department of Internal Medicine, AIIMS, Deoghar, Jharkhand,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(3)Department of Radiodiagnosis, AIIMS, Deoghar, Jharkhand,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(4)Department of Pathology, AIIMS, Deoghar, Jharkhand,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Lupus enteritis is a rare clinical entity with a global incidence of 0.2%-14.2%.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Signs and symptoms of lupus enteritis are nonspecific, and incidence is very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low; it is often misdiagnosed as tuberculosis (TB) in endemic countries like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India. Also, enteritis as initial presentation is quite uncommon in systemic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lupus erythematosus. We are reporting a case of a 15-year-old woman of lupus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enteritis who was misdiagnosed as intestinal TB.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Copyright: © 2026 Journal of Family Medicine and Primary Care.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10.4103/jfmpc.jfmpc_1605_24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PMC13387672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PMID: 42483345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C345A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8043D7">
        <w:rPr>
          <w:rFonts w:ascii="宋体" w:eastAsia="宋体" w:hAnsi="宋体" w:cs="宋体"/>
          <w:b/>
          <w:color w:val="FF0000"/>
          <w:szCs w:val="24"/>
        </w:rPr>
        <w:t>7</w:t>
      </w:r>
      <w:r w:rsidR="00DD4343" w:rsidRPr="00EC345A">
        <w:rPr>
          <w:rFonts w:ascii="宋体" w:eastAsia="宋体" w:hAnsi="宋体" w:cs="宋体"/>
          <w:b/>
          <w:color w:val="FF0000"/>
          <w:szCs w:val="24"/>
        </w:rPr>
        <w:t>. Indian J Orthop. 2025 Dec 21;60(7):1810-1827. do</w:t>
      </w:r>
      <w:r w:rsidR="00EC345A" w:rsidRPr="00EC345A">
        <w:rPr>
          <w:rFonts w:ascii="宋体" w:eastAsia="宋体" w:hAnsi="宋体" w:cs="宋体"/>
          <w:b/>
          <w:color w:val="FF0000"/>
          <w:szCs w:val="24"/>
        </w:rPr>
        <w:t xml:space="preserve">i: 10.1007/s43465-025-01663-4. </w:t>
      </w:r>
      <w:r w:rsidR="00DD4343" w:rsidRPr="00EC345A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Multidrug-Resistant and Extensively Drug-Resistant Skeletal Tuberculosis: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Systematic Review of Clinical Profile, Management, and Outcomes.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Regmi A(1), Niraula BB(2), Sami A(3), Jain VK(4), Vishwakarma G(5), Iyengar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KP(6).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(1)Department of Orthopedics, Charak Memorial Hospital, Pokhara, Nepal.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(2)Department of Orthopedics, B&amp;B Hospital, Gwarko, Lalitpur, Nepal.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(3)Department of Orthopedics, Atal Bihari Vajpayee Institute of Medical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Sciences, Dr. Ram Manohar Lohia Hospital, New Delhi, 110001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(4)Department of Orthopaedics, Atal Bihari Vajpayee Institute of Medical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Sciences, Dr. Ram Manohar Lohia Hospital, New Delhi, 110001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(5)Clinical R&amp;D, Zydus Lifesciences Limited, Ahmedabad,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(6)Southport and Ormskirk NHS Trust, Southport, PR8 6PN UK.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Multidrug-resistant (MDR), pre-extensively drug-resistant (pre-XDR),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extensively drug-resistant (XDR) strains are associated with delayed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diagnosis, protracted therapy, and increased morbidity. This article aims 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systematically review the clinical spectrum, diagnostic strategies, drug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resistance profiles, therapeutic regimens, surgical interventions, and outcomes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of drug-resistant skeletal TB.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>METHODS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: A systematic search of PubMed, Scopus, and Embase up to September 2025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identified studies reporting</w:t>
      </w:r>
      <w:r w:rsidRPr="00DD4343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DD4343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DD4343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5 culture- or molecular-confirmed MDR, pre-XDR,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or XDR skeletal TB cases. Data extraction included demographics, clinical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features, diagnostics, drug susceptibility, treatment protocols, surgical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management, and outcomes.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Twenty studies reported 1,242 drug-resistant cases: 1,032 spinal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210 osteoarticular. MDR TB predominated, while pre-XDR/XDR cases ranged from 1.2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to 20%. Treatment success was 76-100% for MDR TB and 50-80% for pre-XDR/XDR TB;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adverse events occurred in 33-55%. Recurrence and mortality were low (&lt;</w:t>
      </w:r>
      <w:r w:rsidRPr="00DD4343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DD4343">
        <w:rPr>
          <w:rFonts w:ascii="宋体" w:eastAsia="宋体" w:hAnsi="宋体" w:cs="宋体"/>
          <w:color w:val="000000" w:themeColor="text1"/>
          <w:szCs w:val="24"/>
        </w:rPr>
        <w:t>5-19%).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MDR TB dominates drug-resistant skeletal TB, but pre-XDR/XDR cases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demand complex management. Early molecular diagnosis, tailored multidrug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regimens, and judicious surgical intervention are pivotal for optimal outcomes.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 multidisciplinary strategy is essential to improve prognosis and limit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long-term morbidity.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Indian Orthopaedics Association 2025. Springer Nature or its licensor (e.g. 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society or other partner) holds exclusive rights to this article under 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publishing agreement with the author(s) or other rightsholder(s); author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self-archiving of the accepted manuscript version of this article is solely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governed by the terms of such publishing agreement and applicable law.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10.1007/s43465-025-01663-4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PMC13385733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42483261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C345A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8043D7">
        <w:rPr>
          <w:rFonts w:ascii="宋体" w:eastAsia="宋体" w:hAnsi="宋体" w:cs="宋体"/>
          <w:b/>
          <w:color w:val="FF0000"/>
          <w:szCs w:val="24"/>
        </w:rPr>
        <w:t>8</w:t>
      </w:r>
      <w:r w:rsidR="00DD4343" w:rsidRPr="00EC345A">
        <w:rPr>
          <w:rFonts w:ascii="宋体" w:eastAsia="宋体" w:hAnsi="宋体" w:cs="宋体"/>
          <w:b/>
          <w:color w:val="FF0000"/>
          <w:szCs w:val="24"/>
        </w:rPr>
        <w:t xml:space="preserve">. Front Public Health. 2026 Jul 7;14:1834699. doi: 10.3389/fpubh.2026.1834699. </w:t>
      </w:r>
    </w:p>
    <w:p w:rsidR="00DD4343" w:rsidRPr="00EC345A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C345A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Evaluation of the GenoScreen Deeplex Myc-TB workflow for drug-resistant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tuberculosis testing in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Williams J(#)(1), Steyn J(#)(1), Grobbelaar M(1), Naufal F(2), Ghebrekristos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Y(1)(3), Ismail N(1), Limberis J(2), Opperman C(1)(3)(4), Singh S(1)(3), Venter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R(1), Mann BC(1), Hunter FB(1), Nalyvayko A(2), Theron G(1), Warren RM(#)(1),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Metcalfe JZ(#)(2).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(1)Division of Molecular Biology and Human Genetics, SAMRC Centre for 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Research, DSI-NRF Centre of Excellence for Biomedical TB Research, Department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Biomedical Sciences, Faculty of Medicine and Health Sciences, Stellenbosch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University, Cape Town,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(2)Division of Pulmonary and Critical Care Medicine, San Francisco General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Hospital and Trauma Center, University of California, San Francisco, CA, United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States.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(3)National Health Laboratory Service, Green Point Tuberculosis Laboratory, Cape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Town,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(4)Division of Medical Microbiology, Department of Pathology, University of Cape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Town, Cape Town,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Tuberculosis (TB) remains a leading cause of death globally, particularly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low- and middle-income countries, where healthcare systems are under-resourced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the burden of drug-resistant disease is highest. We assessed the feasibility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of future integration of the GenoScreen Deeplex Myc-TB assay - a targeted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next-generation sequencing (tNGS) assay for Mycobacterium tuberculosis detection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drug-resistance profiling within a national reference laboratory in South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Africa. Rather than reporting routine implementation with patient testing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parallel to standard care, this study evaluated pre-implementation readiness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through workflow optimisation, infrastructure preparation, staff training,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troubleshooting across the sequencing pathway. The main challenges identified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were DNA extraction from complex specimens, targeted PCR quality control, manual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library preparation, sequencing consistency, proprietary analysis software,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procurement and cost constraints. Overall, these findings show that the Deeplex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Myc-TB assay has potential to complement routine diagnostic testing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high-burden settings, but that sustained adoption will require appropriate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extraction methods, additional local quality control measures, reliable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procurement pathways, recognised reporting, and longer-term investment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laboratory and data systems.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Copyright © 2026 Williams, Steyn, Grobbelaar, Naufal, Ghebrekristos, Ismail,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Limberis, Opperman, Singh, Venter, Mann, Hunter, Nalyvayko, Theron, Warren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Metcalfe.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10.3389/fpubh.2026.1834699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PMC13385177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42483057 [Indexed for MEDLINE]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C345A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C345A">
        <w:rPr>
          <w:rFonts w:ascii="宋体" w:eastAsia="宋体" w:hAnsi="宋体" w:cs="宋体"/>
          <w:b/>
          <w:color w:val="FF0000"/>
          <w:szCs w:val="24"/>
        </w:rPr>
        <w:t>6</w:t>
      </w:r>
      <w:r w:rsidR="008043D7">
        <w:rPr>
          <w:rFonts w:ascii="宋体" w:eastAsia="宋体" w:hAnsi="宋体" w:cs="宋体"/>
          <w:b/>
          <w:color w:val="FF0000"/>
          <w:szCs w:val="24"/>
        </w:rPr>
        <w:t>9</w:t>
      </w:r>
      <w:r w:rsidRPr="00EC345A">
        <w:rPr>
          <w:rFonts w:ascii="宋体" w:eastAsia="宋体" w:hAnsi="宋体" w:cs="宋体"/>
          <w:b/>
          <w:color w:val="FF0000"/>
          <w:szCs w:val="24"/>
        </w:rPr>
        <w:t xml:space="preserve">. Tuberculosis (Edinb). 2026 Jul 11;160:102796. doi: 10.1016/j.tube.2026.102796. </w:t>
      </w:r>
    </w:p>
    <w:p w:rsidR="00DD4343" w:rsidRPr="00EC345A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C345A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FadR subfamily of transcriptional regulators are dispensable for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pathogenesis of Mycobacterium tuberculosis.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Chugh S(1), Singh B(1), Chauhan NK(1), Chaudhary D(1), Singh M(1), Sharma A(1),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Bhasin M(2), Niharika(3), Chopra P(1), Priya M(1), Asthana S(1), Singh V(3),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Varadarajan R(2), Singh R(4).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(1)Translational Health Science and Technology Institute, Faridabad, Haryana,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121001,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(2)Molecular Biophysics Unit, Indian Institute of Science, Bengaluru,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(3)Central University of South Bihar, Gaya, Bihar,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(4)Translational Health Science and Technology Institute, Faridabad, Haryana,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121001, India. Electronic address: ramandeep@thsti.res.in.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 diverse set of transcriptional regulators (TRs) enables Mycobacterium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tuberculosis (M. tuberculosis) to reprogram its gene expression profiles 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adapt and counteract the challenges imposed by the host during infection. FadR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subfamily TRs regulate different physiological aspects of bacteria, including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stress adaptation and virulence. The genome of M. tuberculosis encodes five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homologs of the FadR subfamily of TRs. Here, we have comprehensively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characterised the three FadR subfamily TRs, namely Rv0043c, Rv0165c,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Rv3060c, to assess their role in M. tuberculosis stress adaptation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pathogenesis. We demonstrate that the individual deletion of these TRs does not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affect the growth of M. tuberculosis in vitro under various host-mimicking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stress conditions or during infection of macrophages, mice, or guinea pigs.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RNA-seq analysis revealed that, compared to the wild type strain, the relative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transcript levels of the majority of differentially expressed genes were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increased in the ΔRv0043c, ΔRv0165c and ΔRv3060c strains of M. tuberculosis,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suggesting that these proteins function as transcriptional repressors. Taken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together, these results suggest that functional redundancy exists between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FadR subfamily of TRs.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10.1016/j.tube.2026.102796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42480144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C345A" w:rsidRDefault="008043D7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70</w:t>
      </w:r>
      <w:r w:rsidR="00DD4343" w:rsidRPr="00EC345A">
        <w:rPr>
          <w:rFonts w:ascii="宋体" w:eastAsia="宋体" w:hAnsi="宋体" w:cs="宋体"/>
          <w:b/>
          <w:color w:val="FF0000"/>
          <w:szCs w:val="24"/>
        </w:rPr>
        <w:t xml:space="preserve">. Proc (Bayl Univ Med Cent). 2026 May 13:1-5. doi: </w:t>
      </w:r>
      <w:r w:rsidR="00EC345A">
        <w:rPr>
          <w:rFonts w:ascii="宋体" w:eastAsia="宋体" w:hAnsi="宋体" w:cs="宋体"/>
          <w:b/>
          <w:color w:val="FF0000"/>
          <w:szCs w:val="24"/>
        </w:rPr>
        <w:t xml:space="preserve">10.1080/08998280.2026.2665058. </w:t>
      </w:r>
      <w:r w:rsidR="00DD4343" w:rsidRPr="00EC345A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Fever, lymphadenopathy, and a diagnostic dilemma: a case of Kikuchi-Fujimoto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disease masquerading as tuberculosis in a diabetic patient.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Bhojwani C(1), Jeedigunta A(1), Thaker S(1), Murali M(2), Pandey H(3), Prabhu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MM(3).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(1)Department of General Medicine, Kasturba Medical College, Manipal,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(2)Department of Pathology, Kasturba Medical College, Manipal,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(3)Department of Medicine, Kasturba Medical College, Manipal,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Kikuchi-Fujimoto disease is a rare, self-limiting autoimmune necrotizing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lymphadenitis that poses unique diagnostic challenges due to vague, overlapping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clinical and laboratory features with numerous important and common differential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diagnoses. Accurate diagnosis is needed to avoid unnecessary and unwanted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treatment. Herein, we report a unique case of a middle-aged diabetic man from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South India presenting with prolonged fever, significant weight loss,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generalized lymphadenopathy. Laboratory findings revealed leukopenia, markedly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elevated inflammatory markers, and a moderately positive antinuclear antibody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titer, raising immediate concern for systemic lupus erythematosus. Results of an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extensive infectious workup, including tuberculosis testing, were negative.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definitive diagnosis was established by lymph node biopsy demonstrating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necrotizing lymphadenitis with karyorrhectic debris and crescentic histiocytes,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without caseating granulomas or hematoxylin bodies. This case underscores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need for early lymph node biopsy in tuberculosis-endemic settings to avoid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misdiagnosis and inappropriate antitubercular therapy and also highlights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emerging association between Kikuchi-Fujimoto disease and autoimmune serological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markers.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10.1080/08998280.2026.2665058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42478789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C345A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</w:t>
      </w:r>
      <w:r w:rsidR="008043D7">
        <w:rPr>
          <w:rFonts w:ascii="宋体" w:eastAsia="宋体" w:hAnsi="宋体" w:cs="宋体"/>
          <w:b/>
          <w:color w:val="FF0000"/>
          <w:szCs w:val="24"/>
        </w:rPr>
        <w:t>1</w:t>
      </w:r>
      <w:r w:rsidR="00DD4343" w:rsidRPr="00EC345A">
        <w:rPr>
          <w:rFonts w:ascii="宋体" w:eastAsia="宋体" w:hAnsi="宋体" w:cs="宋体"/>
          <w:b/>
          <w:color w:val="FF0000"/>
          <w:szCs w:val="24"/>
        </w:rPr>
        <w:t xml:space="preserve">. J Int Assoc Provid AIDS Care. 2026 Jan-Dec;25:23259582261471971. doi: </w:t>
      </w:r>
    </w:p>
    <w:p w:rsidR="00DD4343" w:rsidRPr="00EC345A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C345A">
        <w:rPr>
          <w:rFonts w:ascii="宋体" w:eastAsia="宋体" w:hAnsi="宋体" w:cs="宋体"/>
          <w:b/>
          <w:color w:val="FF0000"/>
          <w:szCs w:val="24"/>
        </w:rPr>
        <w:t>10.1177/23259582261471971. Epub 2026 Jul 21.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Incidence and Predictors of Tuberculosis Among Adults Living With HIV/AIDS 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Antiretroviral Therapy in Central Gondar Zone, Northwest Ethiopia: A Multicenter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Retrospective Follow-Up Study.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Addis W(1), Zeleke A(1), Nigatu SG(1), Beyene JA(2).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(1)Department of Epidemiology and Biostatistics, Institute of Public Health,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College of Medicine and Health Sciences, University of Gondar, Gondar, Ethiopia.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(2)Department of Epidemiology, Teda Health Science College, Gondar, Ethiopia.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>Background</w:t>
      </w:r>
      <w:r w:rsidR="00EC345A">
        <w:rPr>
          <w:rFonts w:ascii="宋体" w:eastAsia="宋体" w:hAnsi="宋体" w:cs="宋体"/>
          <w:color w:val="000000" w:themeColor="text1"/>
          <w:szCs w:val="24"/>
        </w:rPr>
        <w:t xml:space="preserve">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Tuberculosis is a major communicable disease and the leading cause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death among people living with HIV/AIDS, accounting for nearly 40%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AIDS-related deaths. This study assessed the incidence and predictors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tuberculosis among adults receiving antiretroviral therapy in Central Gondar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Zone, Northwest Ethiopia, from December 2016 to January 2022.MethodsA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multicenter retrospective follow-up study was conducted among 488 adult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HIV-positive individuals on antiretroviral therapy. Data were collected using an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Android-based mobile application and analyzed using a Cox proportional hazards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model. Variables with p &lt; 0.05 were considered significant predictors.ResultsThe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tuberculosis incidence rate was 2.87 per 100 person-years (95% CI: 2.22-3.70).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Increased risk was associated with opportunistic infections (Adjusted Hazard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Ratio (AHR)=3.16), poor antiretroviral therapy (ART) adherence (Adjusted Hazard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 xml:space="preserve">Ratio (AHR)=3.53), and family size ≥5 (AHR=2.36). Isoniazid preventive therapy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 xml:space="preserve">(IPT) reduced tuberculosis risk (AHR≈0.26-0.29).ConclusionTuberculosis incidence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was relatively low. Poor adherence, opportunistic infections, and large family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size increased risk, while isoniazid use was protective.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10.1177/23259582261471971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PMC13389128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42478372 [Indexed for MEDLINE]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C345A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</w:t>
      </w:r>
      <w:r w:rsidR="008043D7">
        <w:rPr>
          <w:rFonts w:ascii="宋体" w:eastAsia="宋体" w:hAnsi="宋体" w:cs="宋体"/>
          <w:b/>
          <w:color w:val="FF0000"/>
          <w:szCs w:val="24"/>
        </w:rPr>
        <w:t>2</w:t>
      </w:r>
      <w:r w:rsidR="00DD4343" w:rsidRPr="00EC345A">
        <w:rPr>
          <w:rFonts w:ascii="宋体" w:eastAsia="宋体" w:hAnsi="宋体" w:cs="宋体"/>
          <w:b/>
          <w:color w:val="FF0000"/>
          <w:szCs w:val="24"/>
        </w:rPr>
        <w:t>. Intern Med. 2026 Jul 18. doi: 10.2169/internalmed</w:t>
      </w:r>
      <w:r w:rsidR="00EC345A" w:rsidRPr="00EC345A">
        <w:rPr>
          <w:rFonts w:ascii="宋体" w:eastAsia="宋体" w:hAnsi="宋体" w:cs="宋体"/>
          <w:b/>
          <w:color w:val="FF0000"/>
          <w:szCs w:val="24"/>
        </w:rPr>
        <w:t xml:space="preserve">icine.7368-26. Online ahead of </w:t>
      </w:r>
      <w:r w:rsidR="00DD4343" w:rsidRPr="00EC345A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Lung Cancer Adjacent to Primary Complex of Tuberculosis.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Fujita J(1), Gaja S(1), Chinen T(1), Ishigaki M(1).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(1)Respiratory Medicine, Ohama Dai-ichi Hospital, Japan.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10.2169/internalmedicine.7368-26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42476775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C345A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</w:t>
      </w:r>
      <w:r w:rsidR="008043D7">
        <w:rPr>
          <w:rFonts w:ascii="宋体" w:eastAsia="宋体" w:hAnsi="宋体" w:cs="宋体"/>
          <w:b/>
          <w:color w:val="FF0000"/>
          <w:szCs w:val="24"/>
        </w:rPr>
        <w:t>3</w:t>
      </w:r>
      <w:r w:rsidR="00DD4343" w:rsidRPr="00EC345A">
        <w:rPr>
          <w:rFonts w:ascii="宋体" w:eastAsia="宋体" w:hAnsi="宋体" w:cs="宋体"/>
          <w:b/>
          <w:color w:val="FF0000"/>
          <w:szCs w:val="24"/>
        </w:rPr>
        <w:t>. J Vis Exp. 2026 Jun 30;(232). doi: 10.3791/71019.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Intravital Imaging of Attenuated Auxotrophic Mycobacterium tuberculosis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Murine Lung during Early Intravascular Infection.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Jung Y(1), Chen B(2), Vilchèze C(2), Jacobs WR(3), Entenberg D(4).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(1)Department of Pathology, Albert Einstein College of Medicine; Integrated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Imaging Program for Cancer Research, Albert Einstein College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Medicine/Montefiore Medical Center; Gruss-Lipper Biophotonics Center, Albert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Einstein College of Medicine.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(2)Department of Microbiology and Immunology, Albert Einstein College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Medicine.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(3)Department of Microbiology and Immunology, Albert Einstein College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Medicine; Department of Genetics, Albert Einstein College of Medicine;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william.jacobs@einsteinmed.edu.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(4)Department of Pathology, Albert Einstein College of Medicine; Integrated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Imaging Program for Cancer Research, Albert Einstein College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Medicine/Montefiore Medical Center; Gruss-Lipper Biophotonics Center, Albert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Einstein College of Medicine; Cancer Dormancy Institute, Albert Einstein College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of Medicine; Montefiore Einstein Comprehensive Cancer Center, Albert Einstein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College of Medicine/Montefiore Medical Center; david.entenberg@einsteinmed.edu.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Intravital microscopy enables direct visualization of dynamic cellular processes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within intact tissues. However, its application to Mycobacterium tuberculosis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(Mtb) has been limited by Biosafety Level 3 (BSL-3) containment requirements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 technical challenges of stabilizing the lung for high-resolution imaging.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Here, we present a protocol that combines the thoracic Window for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High-Resolution Imaging of the murine Lung (WHRIL) with mc27902, a genetically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defined triple-auxotrophic Mtb strain approved for use under BSL-2 conditions.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We also describe the generation of mc28471, a tdTomato-expressing derivative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mc27902, its preparation for intravenous infection, and application for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intravital imaging in reporter mice. This system enables real-time visualization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of early infection dynamics, including rapid bacillary entry into the pulmonary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vasculature, aggregation, dissemination into the lung parenchyma, and macrophage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uptake in the same lung microenvironment over the first 3 days post-infection.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By enabling longitudinal imaging of bacilli and host-pathogen interactions at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single-cell resolution, this approach overcomes key limitations associated with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conventional imaging and high-containment models. This protocol provides 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practical BSL-2-compatible platform for real-time intravital imaging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attenuated mycobacteria in the lung and establishes a foundation for mechanistic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studies of bacterial physiology, host recognition, and immune-mediated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clearance.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10.3791/71019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42475446 [Indexed for MEDLINE]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C345A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</w:t>
      </w:r>
      <w:r w:rsidR="008043D7">
        <w:rPr>
          <w:rFonts w:ascii="宋体" w:eastAsia="宋体" w:hAnsi="宋体" w:cs="宋体"/>
          <w:b/>
          <w:color w:val="FF0000"/>
          <w:szCs w:val="24"/>
        </w:rPr>
        <w:t>4</w:t>
      </w:r>
      <w:r w:rsidR="00DD4343" w:rsidRPr="00EC345A">
        <w:rPr>
          <w:rFonts w:ascii="宋体" w:eastAsia="宋体" w:hAnsi="宋体" w:cs="宋体"/>
          <w:b/>
          <w:color w:val="FF0000"/>
          <w:szCs w:val="24"/>
        </w:rPr>
        <w:t>. Infect Drug Resist. 2026 Jul 14;19:613052. doi: 10</w:t>
      </w:r>
      <w:r w:rsidR="00EC345A" w:rsidRPr="00EC345A">
        <w:rPr>
          <w:rFonts w:ascii="宋体" w:eastAsia="宋体" w:hAnsi="宋体" w:cs="宋体"/>
          <w:b/>
          <w:color w:val="FF0000"/>
          <w:szCs w:val="24"/>
        </w:rPr>
        <w:t xml:space="preserve">.2147/IDR.S613052. eCollection </w:t>
      </w:r>
      <w:r w:rsidR="00DD4343" w:rsidRPr="00EC345A">
        <w:rPr>
          <w:rFonts w:ascii="宋体" w:eastAsia="宋体" w:hAnsi="宋体" w:cs="宋体"/>
          <w:b/>
          <w:color w:val="FF0000"/>
          <w:szCs w:val="24"/>
        </w:rPr>
        <w:t>2026.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Clinical and Microbiological Characteristics Associated with Treatment Outcomes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Among Rifampicin-Resistant Tuberculosis Patients in Limpopo Province.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Rukasha I(1)(2), Rakgate KA(1), Kaapu KG(1).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(1)Division of Medical Microbiology, Department of Pathology, School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Medicine, University of Limpopo, Polokwane,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(2)Department of Microbiology, Polokwane Laboratory, National Health Laboratory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Service, Polokwane, South Africa.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Drug-resistant tuberculosis (DR-TB) remains a major public health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concern in South Africa, particularly in rural provinces such as Limpopo, where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access to specialized care is limited. High HIV prevalence, population mobility,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constrained diagnostic capacity further complicate disease control.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Province-specific data are essential to guide targeted interventions; however,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factors associated with treatment outcomes in rural settings remain poorly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characterized.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A retrospective cohort study was conducted using routinely collected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laboratory and programmatic data. All laboratory-confirmed DR-TB cases recorded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 Limpopo Province between 2023 and 2025 were included. Microbiological data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were obtained from the National Health Laboratory Service, while demographic,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clinical, and treatment outcome data were extracted from the Electronic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Drug-Resistant Tuberculosis Register. Descriptive statistics summarized patient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characteristics. Associations with treatment outcomes were assessed using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chi-square tests and multivariable logistic regression. Kaplan-Meier analysis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compared survival by HIV status.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 total of 86 RR-TB patients were included. Most were aged 25-44 years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(65.1%), with males comprising 70.9%, and 55.8% were HIV co-infected. Favourable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treatment outcomes were observed in 62 (71.4%) patients, while 12 (14.3%)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experienced unfavourable outcomes and 12 (14.3%) remained on treatment.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multivariable analysis, younger age (15-24 years) (AOR = 9.97, 95% CI: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1.48-67.33) and smear-negative status (AOR = 39.62, 95% CI: 3.33-471.83) were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independently associated with unfavourable outcomes, whereas HIV status was not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significant after adjustment. Kaplan-Meier analysis showed poorer survival among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HIV-positive patients (log-rank p = 0.002), although this was not retained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the adjusted model.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DR-TB in Limpopo is characterized by a high burden of TB-HIV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co-infection and rifampicin resistance. Clinical factors, rather than resistance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patterns, were key determinants of unfavourable outcomes. Strengthening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integrated TB-HIV services, improving early diagnosis, and expanding drug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susceptibility testing are critical to improving outcomes.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2026 Rukasha et al.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10.2147/IDR.S613052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PMC13380863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42473613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C345A" w:rsidRDefault="006F6C83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</w:t>
      </w:r>
      <w:r w:rsidR="008043D7">
        <w:rPr>
          <w:rFonts w:ascii="宋体" w:eastAsia="宋体" w:hAnsi="宋体" w:cs="宋体"/>
          <w:b/>
          <w:color w:val="FF0000"/>
          <w:szCs w:val="24"/>
        </w:rPr>
        <w:t>5</w:t>
      </w:r>
      <w:r w:rsidR="00DD4343" w:rsidRPr="00EC345A">
        <w:rPr>
          <w:rFonts w:ascii="宋体" w:eastAsia="宋体" w:hAnsi="宋体" w:cs="宋体"/>
          <w:b/>
          <w:color w:val="FF0000"/>
          <w:szCs w:val="24"/>
        </w:rPr>
        <w:t>. Vet Anim Sci. 2026 Jul 4;34:100759. doi: 10.1016/</w:t>
      </w:r>
      <w:r w:rsidR="00EC345A" w:rsidRPr="00EC345A">
        <w:rPr>
          <w:rFonts w:ascii="宋体" w:eastAsia="宋体" w:hAnsi="宋体" w:cs="宋体"/>
          <w:b/>
          <w:color w:val="FF0000"/>
          <w:szCs w:val="24"/>
        </w:rPr>
        <w:t xml:space="preserve">j.vas.2026.100759. eCollection </w:t>
      </w:r>
      <w:r w:rsidR="00DD4343" w:rsidRPr="00EC345A">
        <w:rPr>
          <w:rFonts w:ascii="宋体" w:eastAsia="宋体" w:hAnsi="宋体" w:cs="宋体"/>
          <w:b/>
          <w:color w:val="FF0000"/>
          <w:szCs w:val="24"/>
        </w:rPr>
        <w:t>2026 Dec.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Prevalence of bovine tuberculosis in cattle, camels and goats and awareness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among pastoral and agro-pastoral communities of the Somali region, Ethiopia.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Gizaw Y(1)(2), Tesfamaryam G(3), Kebeta MM(4)(2), Hussein HA(5), Feyera T(4)(2),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Abdulahi A(4), Desalegn N(3), Abebe M(3), Tesfaye B(6), Muhie Y(4), Tschopp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R(7)(8), Ameni G(9).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(1)College of Agriculture and Environmental Science, School of Veterinary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Medicine, Arsi University, P.O. Box: 193, Asella, Ethiopia.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(2)Animal Science, School of Environmental and Rural Science, University of New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England, Armidale, New South Wales, 2351, Australia.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(3)College of Agriculture, Department of Animal Science, Aksum University, P.O.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Box: 1010, Aksum, Ethiopia.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(4)College of Veterinary Medicine, Department of Parasitology and Pathology,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Jigjiga University, P.O. Box: 1020, Jigjiga, Ethiopia.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(5)College of Veterinary Medicine, Department of Microbiology and Public Health,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Jigjiga University, P.O. Box: 1020, Jigjiga, Ethiopia.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(6)College of Social Sciences, Department of Geography, Jigjiga University, P.O.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Box: 1020, Jigjiga, Ethiopia.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(7)One Health Division, Armauer Hansen Research Institute, P.O. Box: 1005, Addis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Ababa, Ethiopia.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(8)Swiss Tropical and Public Health Institute, Basel University, P. O. Box: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CH-4002, Basel, Switzerland.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(9)Aklilu Lemma Institute of Pathobiology, Addis Ababa University, P.O. Box: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1176, Addis Ababa, Ethiopia.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Bovine tuberculosis (BTB) is an endemic disease in Ethiopia; however, data 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animal TB in the Somali region remain minimal. This cross-sectional study was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conducted from January 2017 to June 2018 to estimate the prevalence of BTB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cattle, camels, and goats, identify associated risk factors, and assess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community awareness of the disease. A total of 982 animals were tested using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 xml:space="preserve">Comparative Intradermal Tuberculin Test (CIDT), with results interpreted at ≥4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 xml:space="preserve">mm and ≥2 mm cut-off points. In addition, a semi-structured questionnaire was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administered to 110 animal owners to evaluate community knowledge related 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BTB. Logistic regression analysis was used to assess the association of risk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 xml:space="preserve">factors with the occurrence of BTB in the study animals. At the ≥4 mm cut-off,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 individual BTB prevalence was 2.7% (95% CI: 0.96-4.5%) in cattle, 1.8% (95%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CI: 0.73-3.3%) in camels, and 0% in goats indicating that goats had no reactors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 xml:space="preserve">at the standard diagnostic threshold. When applying the ≥2 mm cut-off,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prevalence increased to 3.6% (95% CI: 1.6-5.7%) in cattle, 6.7% (95% CI: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4.0-9.5%) in camels, and 3.3% (95% CI: 1.4-5.3%) in goats. At the herd level,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BTB prevalence in cattle, camels, and goats was 40%, 31%, and 0%, respectively,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 xml:space="preserve">at the ≥4 mm cut-off. Camels exhibited the largest increase in herd prevalence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 xml:space="preserve">when applying the more sensitive ≥2 mm threshold (68%). There was no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statistically significant association in the prevalence of BTB with hypothesized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risk factors in any of the examined livestock species. Somali pastoralists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showed limited knowledge of zoonotic BTB, with only 63% having heard of bovine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TB and 24% aware of animal</w:t>
      </w:r>
      <w:r w:rsidRPr="00DD4343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DD4343">
        <w:rPr>
          <w:rFonts w:ascii="宋体" w:eastAsia="宋体" w:hAnsi="宋体" w:cs="宋体"/>
          <w:color w:val="000000" w:themeColor="text1"/>
          <w:szCs w:val="24"/>
        </w:rPr>
        <w:t>to</w:t>
      </w:r>
      <w:r w:rsidRPr="00DD4343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human transmission. The Complete absence of 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health education reported by all respondents (0%) highlights the critical need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for targeted community awareness programs and integration of TB education into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routine veterinary and public health services.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10.1016/j.vas.2026.100759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PMC13380771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42473445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C345A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C345A">
        <w:rPr>
          <w:rFonts w:ascii="宋体" w:eastAsia="宋体" w:hAnsi="宋体" w:cs="宋体"/>
          <w:b/>
          <w:color w:val="FF0000"/>
          <w:szCs w:val="24"/>
        </w:rPr>
        <w:t>7</w:t>
      </w:r>
      <w:r w:rsidR="008043D7">
        <w:rPr>
          <w:rFonts w:ascii="宋体" w:eastAsia="宋体" w:hAnsi="宋体" w:cs="宋体"/>
          <w:b/>
          <w:color w:val="FF0000"/>
          <w:szCs w:val="24"/>
        </w:rPr>
        <w:t>6</w:t>
      </w:r>
      <w:r w:rsidRPr="00EC345A">
        <w:rPr>
          <w:rFonts w:ascii="宋体" w:eastAsia="宋体" w:hAnsi="宋体" w:cs="宋体"/>
          <w:b/>
          <w:color w:val="FF0000"/>
          <w:szCs w:val="24"/>
        </w:rPr>
        <w:t>. Pediatr Pulmonol. 2026 Jul;61(7):e71746. doi: 10.1002/ppul.71746.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Miliary Opacities Beyond Miliary Tuberculosis in an Adolescent Boy: Lessons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Learned.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Nanda S(1), Kumari S(1), Gupta Mittal H(1), Jhajharia T(1), Patra B(1), Chaudary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>S(1).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(1)Department of Paediatrics, Atal Bihari Vajpayee Institute of Medical Sciences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and Dr. Ram Manohar Lohia Hospital, New Delhi, 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10.1002/ppul.71746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PMC13380860</w:t>
      </w:r>
    </w:p>
    <w:p w:rsidR="00DD4343" w:rsidRPr="00DD4343" w:rsidRDefault="00EC345A" w:rsidP="00DD4343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42472364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C345A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C345A">
        <w:rPr>
          <w:rFonts w:ascii="宋体" w:eastAsia="宋体" w:hAnsi="宋体" w:cs="宋体"/>
          <w:b/>
          <w:color w:val="FF0000"/>
          <w:szCs w:val="24"/>
        </w:rPr>
        <w:t>7</w:t>
      </w:r>
      <w:r w:rsidR="008043D7">
        <w:rPr>
          <w:rFonts w:ascii="宋体" w:eastAsia="宋体" w:hAnsi="宋体" w:cs="宋体"/>
          <w:b/>
          <w:color w:val="FF0000"/>
          <w:szCs w:val="24"/>
        </w:rPr>
        <w:t>7</w:t>
      </w:r>
      <w:r w:rsidRPr="00EC345A">
        <w:rPr>
          <w:rFonts w:ascii="宋体" w:eastAsia="宋体" w:hAnsi="宋体" w:cs="宋体"/>
          <w:b/>
          <w:color w:val="FF0000"/>
          <w:szCs w:val="24"/>
        </w:rPr>
        <w:t xml:space="preserve">. Respir Med Case Rep. 2026 Jul 6;63:102463. doi: 10.1016/j.rmcr.2026.102463. </w:t>
      </w:r>
    </w:p>
    <w:p w:rsidR="00DD4343" w:rsidRPr="00EC345A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C345A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Advanced accelerated silicosis misdiagnosed as tuberculosis in a 24-year-old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gold miner: A case report.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Nampiinga MG(1)(2), Abaine J(1), Mangheni V(1), Bizumuremyi SC(1), Wakholi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HE(1), Kayiiwa N(1), Bamwine A(1)(3), Pitua I(1).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(1)School of Medicine, College of Health Sciences, Makerere University, Kampala,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Uganda.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(2)Mulago National Referral Hospital, Kampala, Uganda.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(3)St. Francis Hospital, Nsambya, Kampala, Uganda.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Accelerated silicosis is an aggressive form of pneumoconiosis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increasingly observed among young artisanal gold miners. In high tuberculosis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(TB) burden settings, its diffuse miliary radiological pattern frequently leads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to misdiagnosis as miliary TB, resulting in inappropriate management and delayed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supportive care.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 xml:space="preserve">CASE PRESENTATION: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We present the case of a 24-year-old male artisanal gold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miner in Uganda who presented with a five-month history of progressive dyspnea,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cachexia, and fevers. A chest radiograph showed a diffuse miliary pattern,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leading to a presumptive diagnosis of smear-negative pulmonary tuberculosis.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Despite completing a standard six-month course of anti-tubercular therapy, his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condition deteriorated with worsening hypoxia. Subsequent High-Resolution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Computed Tomography (HRCT) revealed extensive bilateral upper-lobe Progressive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Massive Fibrosis (PMF) with calcifications, a persistent thick-walled cavity,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and pulmonary artery enlargement indicative of cor pulmonale.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 diagnosis was revised to advanced accelerated silicosis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complicated by pulmonary hypertension. This case highlights the critical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diagnostic "mimicry" between silicosis and TB. In occupationally exposed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individuals, a lack of microbiological confirmation and non-response 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empirical TB treatment should trigger immediate radiological re-evaluation using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HRCT to avoid unnecessary drug toxicity and ensure appropriate palliative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intervention.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10.1016/j.rmcr.2026.102463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PMC13380438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42471904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C345A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C345A">
        <w:rPr>
          <w:rFonts w:ascii="宋体" w:eastAsia="宋体" w:hAnsi="宋体" w:cs="宋体"/>
          <w:b/>
          <w:color w:val="FF0000"/>
          <w:szCs w:val="24"/>
        </w:rPr>
        <w:t>7</w:t>
      </w:r>
      <w:r w:rsidR="008043D7">
        <w:rPr>
          <w:rFonts w:ascii="宋体" w:eastAsia="宋体" w:hAnsi="宋体" w:cs="宋体"/>
          <w:b/>
          <w:color w:val="FF0000"/>
          <w:szCs w:val="24"/>
        </w:rPr>
        <w:t>8</w:t>
      </w:r>
      <w:r w:rsidRPr="00EC345A">
        <w:rPr>
          <w:rFonts w:ascii="宋体" w:eastAsia="宋体" w:hAnsi="宋体" w:cs="宋体"/>
          <w:b/>
          <w:color w:val="FF0000"/>
          <w:szCs w:val="24"/>
        </w:rPr>
        <w:t>. Niger Med J. 2026 Feb 4;66(5):1961-1973. eCollection 2025 Sep-Oct.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Types and Severity of Hearing Loss among Patients with Tuberculosis receiving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Anti-Tuberculosis Treatment in Nigeria: A Single Center Study.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Nwafor IE(1), Ufoaroh CU(2), Ezeanolue BC(3), Ede Afiadigwe EA(1), Obasikene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G(1), Menkiti FE(4), Nwafor EN(5), Chigbo CG(6).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(1)Department of Otorhinolaryngology, Nnamdi Azikiwe University Teaching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Hospital, Nnewi, Anambra State.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(2)Department of Internal Medicine, Nnamdi Azikiwe University.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(3)Department of Otorhinolaryngology, University of Nigeria Teaching Hospital,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Ituku-Ozalla, Enugu.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(4)Department of Anatomic Pathology, Nnamdi Azikiwe University.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(5)Department of Medical Microbiology, Nnamdi Azikiwe University Teaching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Hospital, Nnewi, Anambra State.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(6)School of Public Health, University of Port-Harcourt, Rivers State, Nigeria.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Tuberculosis (TB) is a contagious and potentially fatal infectious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disease with significant global morbidity and mortality. Both the disease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some anti-TB medications have been linked to hearing loss. The study objective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is to determine the Types and severity of hearing loss among patients receiving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anti-tuberculosis drugs at NAUTH, Nnewi, Nigeria.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 xml:space="preserve">METHODOLOGY: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This prospective cohort study, conducted over one year at Nnamdi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Azikiwe University Teaching Hospital (NAUTH) among adults enrolled in 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patients 18-60years and healthy controls using convenient sampling.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GeneXpert/AFB testing was used for TB diagnosis, and pure tone audiometry was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done for all participants, with follow-up assessments at 2 and 3 months for 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patients. Statistical analysis was performed using STATA version 16.0, with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significance set at p &lt; 0.05.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A total of 196 participants, which included 98 Tb cases (80 drug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sensitive TB(DSTB),18multi drug resistant TB(MDRTB), and 98 controls, with 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male:female ratio of1.13:1, mean age 33.82 ± 12.22 years, with an age range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18-60 years, were recruited. After 90 days of anti-TB treatment, 4.1%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participants developed sensorineural hearing loss, with 3 cases classified as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moderate seen among the MDRTB group and 1 case as mild among the DSTB group.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There was no significant difference in mean pure tone hearing thresholds between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the treatment and control groups in both ears (p = 0.395).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Incidence of Bilateral demonstrable hearing loss after anti-TB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drugs, which is common among MDRTB, has dropped with the introduction of all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oral shorter regimens.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 Nigerian Medical Association.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PMCID: PMC13379846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42471897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C345A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C345A">
        <w:rPr>
          <w:rFonts w:ascii="宋体" w:eastAsia="宋体" w:hAnsi="宋体" w:cs="宋体"/>
          <w:b/>
          <w:color w:val="FF0000"/>
          <w:szCs w:val="24"/>
        </w:rPr>
        <w:t>7</w:t>
      </w:r>
      <w:r w:rsidR="008043D7">
        <w:rPr>
          <w:rFonts w:ascii="宋体" w:eastAsia="宋体" w:hAnsi="宋体" w:cs="宋体"/>
          <w:b/>
          <w:color w:val="FF0000"/>
          <w:szCs w:val="24"/>
        </w:rPr>
        <w:t>9</w:t>
      </w:r>
      <w:r w:rsidRPr="00EC345A">
        <w:rPr>
          <w:rFonts w:ascii="宋体" w:eastAsia="宋体" w:hAnsi="宋体" w:cs="宋体"/>
          <w:b/>
          <w:color w:val="FF0000"/>
          <w:szCs w:val="24"/>
        </w:rPr>
        <w:t>. Ann Afr Med. 2026 Jul 15. doi: 10.4103/aam.aam_379_26. Online ahead of print.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Tumorous Endobronchial Tuberculosis Mimicking Lung Neoplasm: A Diagnostic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Challenge in a Middle-aged Female.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[Article in English, French; Abstract available in French from the publisher]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Jisna K(1), Jereen V, Arthi A, Kumar SS, Mathavan MS.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(1)Department of Respiratory Medicine, Shri Sathya Sai Medical College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Research Institute, Sri Balaji Vidyapeeth (Deemed to be University), Puducherry,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Endobronchial tuberculosis is a distinct form of pulmonary tuberculosis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involving the tracheobronchial tree and may present with varied bronchoscopic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appearances. The tumorous subtype is rare and can closely mimic malignancy both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clinically and radiologically, leading to diagnostic dilemmas and potential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delays in appropriate treatment. A 45-year-old female presented with a 1-month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history of progressive dyspnea (modified Medical Research Council Grade II),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cough with mucoid expectoration, low-grade fever with evening rise,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significant weight loss. She was a known case of obstructive airway disease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type 2 diabetes mellitus. Chest radiography revealed a nonhomogeneous opacity in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 left hilar region with bilateral hyperinflation. High-resolution computed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tomography (CT) showed a well-defined lobulated hypodense mass in the lingular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segment of the left lung, while contrast-enhanced CT demonstrated an irregular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soft-tissue lesion extending from the hilum to the left upper lobe with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branching projections, raising suspicion of malignancy. Bronchoscopy revealed 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vascular, nonpedunculated polypoidal mass in the left lingular segment, causing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luminal narrowing. However, cytology and histopathology were negative for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neoplastic cells. Bronchoalveolar lavage CBNAAT detected Mycobacterium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tuberculosis with rifampicin sensitivity, confirming the diagnosis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endobronchial tuberculosis. The patient was initiated on standard antitubercular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therapy for 6 months, resulting in symptomatic improvement. Follow-up imaging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bronchoscopy showed partial resolution with residual lesion, leading to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extension of therapy to a total of 9 months. Continued clinical and radiological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improvement was observed. Tumorous endobronchial tuberculosis can closely mimic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lung malignancy and should be considered in the differential diagnosis of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endobronchial masses, especially in endemic regions. Early bronchoscopy combined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with molecular diagnostic tools such as CBNAAT is crucial for accurate diagnosis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timely initiation of therapy, thereby preventing unnecessary invasive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procedures and long-term complications such as bronchial stenosis.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 Annals of African Medicine.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10.4103/aam.aam_379_26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PMID: 42471766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EC345A" w:rsidRDefault="008043D7" w:rsidP="00DD434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80</w:t>
      </w:r>
      <w:r w:rsidR="00DD4343" w:rsidRPr="00EC345A">
        <w:rPr>
          <w:rFonts w:ascii="宋体" w:eastAsia="宋体" w:hAnsi="宋体" w:cs="宋体"/>
          <w:b/>
          <w:color w:val="FF0000"/>
          <w:szCs w:val="24"/>
        </w:rPr>
        <w:t xml:space="preserve">. Clin Microbiol Infect. 2026 Jul 18:S1198-743X(26)00390-3. doi: </w:t>
      </w:r>
    </w:p>
    <w:p w:rsidR="00DD4343" w:rsidRPr="00EC345A" w:rsidRDefault="00DD4343" w:rsidP="00DD4343">
      <w:pPr>
        <w:rPr>
          <w:rFonts w:ascii="宋体" w:eastAsia="宋体" w:hAnsi="宋体" w:cs="宋体"/>
          <w:b/>
          <w:color w:val="FF0000"/>
          <w:szCs w:val="24"/>
        </w:rPr>
      </w:pPr>
      <w:r w:rsidRPr="00EC345A">
        <w:rPr>
          <w:rFonts w:ascii="宋体" w:eastAsia="宋体" w:hAnsi="宋体" w:cs="宋体"/>
          <w:b/>
          <w:color w:val="FF0000"/>
          <w:szCs w:val="24"/>
        </w:rPr>
        <w:t>10.1016/j.cmi.2026.07.023. Online ahead of print.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Association of undernutrition and tuberculosis outcomes: a retrospective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multicentre cohort study in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 Gennaro F(1), Guido G(2), Gualano G(3), Cornelli A(4), Buonamassa R(5),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Cavallin F(6), Pisaturo M(4), Onorato L(4), Zimmerhofer F(7), Bruno G(8), Fasano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M(9), Pontarelli A(10), Iacovazzi T(9), Frallonardo L(1), Panico G(11),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Libertone R(3), Monari C(4), Musto A(12), Serapide F(13), Niglio M(14), Pipitò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L(7), Cotugno S(15), Papagni R(15), Maraolo AE(16), Stolfa S(1), Alessio L(4),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Viceconte G(16), De Iaco G(1), Lattanzio R(1), De Gregorio F(17), Ricciardi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A(11), Mencarini P(3), Morrone HL(13), Farinaccio Y(17), Brindicci G(1),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Pellegrino C(18), Cibelli M(1), Manco Cesari G(19), Spada V(18), Tundo P(18),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Santoro CR(1), Metrangolo G(19), Maci AM(19), Pietramatera G(15), Minniti S(12),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Sagnelli C(20), Buccoliero GB(8), Lo Caputo S(14), Prozzo A(17), Carbonara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S(11), Cascio A(6), Gentile I(16), Russo A(13), Parrella R(10), Palmieri F(3),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Coppola N(4), Saracino A(1); Italian South TB Network (ISTB-Net).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(1)Department of Precision and Regenerative Medicine and Jonian Area (DiMePreJ),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Clinic of Infectious Diseases, University of Bari Aldo Moro, Bari, BA,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(2)Department of Precision and Regenerative Medicine and Jonian Area (DiMePreJ),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Clinic of Infectious Diseases, University of Bari Aldo Moro, Bari, BA, Italy.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Electronic address: g.guido13@phd.uniba.it.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(3)Respiratory Infectious Diseases Unit, National Institute for Infectious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Diseases Lazzaro Spallanzani-IRCCS, Rome, RM,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(4)Department of Mental Health and Public Medicine, Section of Infectious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Diseases, University of Campania Luigi Vanvitelli, Naples,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(5)Department of Internal Medicine and Medical Therapy, University of Pavia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(UniPV), Pavia,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(6)Independent Statistician, Solagna,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(7)Department of Health Promotion, Mother and Child Care, Internal Medicine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Medical Specialties "G D'Alessandro", Infectious and Tropical Disease Unit,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University of Palermo, Palermo,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(8)Infectious Disease Department, Saint Giuseppe Moscati Hospital, Taranto, TA,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(9)UOC Malattie Infettive, ASL BA, PO Della Murgia "Fabio Perinei", Altamura,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BA,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(10)Respiratory Infectious Disease Unit, AORN dei Colli, Cotugno Hospital,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Naples, NA,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(11)UOC Malattie Infettive, Ospedale Vittorio Emanuele II, ASL BT, Bisceglie,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BT,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(12)UOC Malattie Infettive, Ospedale Antonio Perrino, Brindisi, BR,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(13)Department of Medical and Surgical Sciences, Infectious and Tropical Disease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Unit, 'Magna Graecia' University of Catanzaro, Catanzaro,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(14)Department of Medical and Surgical Sciences, Infectious Diseases Unit,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University of Foggia, Foggia, FG,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(15)USD Malattie Infettive e Tropicali, ASM Matera, Presidio Ospedaliero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"Madonna delle Grazie".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(16)Section of Infectious Diseases, Department of Clinical Medicine and Surgery,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University of Naples "Federico II," Naples,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(17)UOSVD Malattie Infettive, P.O. "A. Cardarelli", Campobasso, CB,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(18)UOC Malattie Infettive, Santa Caterina Novella Hospital, Galatina.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(19)UOC Malattie Infettive, Vito Fazzi Hospital, Lecce.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(20)Department of Mental Health and Public Medicine, Section of Infectious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Diseases, University of Campania Luigi Vanvitelli, Naples, Italy; Infectious and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Tropical Diseases Unit, AORN Sant'Anna e San Sebastiano, Caserta,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 xml:space="preserve">OBJECTIVES: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Undernutrition remains one of the most powerful yet neglected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determinants of tuberculosis (TB) incidence and progression. While its impact on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TB outcomes has been extensively described in low-income countries, limited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evidence is available from high-income settings. This study aimed to assess the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association between BMI strata at treatment initiation and TB-related outcomes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in a large multicenter cohort from Italy.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We conducted a retrospective, multicenter observational study including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all adults diagnosed with TB between January 2021 and August 2025 in 16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Infectious and Tropical Diseases Units across seven Italian regions. Patients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were stratified by body mass index (BMI) at treatment initiation (&lt;16, 16-16.99,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 w:hint="eastAsia"/>
          <w:color w:val="000000" w:themeColor="text1"/>
          <w:szCs w:val="24"/>
        </w:rPr>
        <w:t xml:space="preserve">17-18.49, 18.5-24.99, and ≥25 kg/m2). Outcomes included time to sputum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conversion, length of hospital stay, occurrence and severity of adverse events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(AEs), incomplete treatment (including failure, death, and loss to follow-up),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and loss to follow-up (LTFU). Multilevel regression models adjusting for study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center and relevant confounders were used to assess associations between BMI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strata and each outcome.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A total of 709 people with TB were included (median age, 38 years [IQR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28-53]; 488/709, 75.5% male). Overall, 299/709 (42%) were underweight (BMI &lt;18.5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kg/m2). Compared with people with TB with normal BMI (18.5-24.99 kg/m2) , those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with severe undernutrition (BMI &lt;16 kg/m2) showed higher rates of adverse events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(54/74 [73.0%] vs 101/410 [24.6%]; adjusted odds ratio [aOR] 12.17, 95% CI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6.41-23.08), incomplete treatment (53/74 [71.6%] vs 87/410 [21.2%]; aOR 18.28,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95% CI 6.70-49.80), and loss to follow-up (41/74 [55.4%] vs 81/410 [19.7%]; aOR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5.99, 95% CI 2.58-13.90). Median hospital stay was also longer in this group (50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days [IQR 24-66] vs 30 days [IQR 18-60]), corresponding to a 23% adjusted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increase. Weight gain during the first six months of treatment was not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significantly associated with major outcomes.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EC345A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 Severe underweight at treatment initiation is a major independent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predictor of poor outcomes in TB. These findings highlight the need for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 xml:space="preserve">systematic nutritional assessment and targeted interventions within TB programs, 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even in high-income, low-incidence settings.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DD4343" w:rsidRPr="00DD4343" w:rsidRDefault="00DD4343" w:rsidP="00DD4343">
      <w:pPr>
        <w:rPr>
          <w:rFonts w:ascii="宋体" w:eastAsia="宋体" w:hAnsi="宋体" w:cs="宋体"/>
          <w:color w:val="000000" w:themeColor="text1"/>
          <w:szCs w:val="24"/>
        </w:rPr>
      </w:pPr>
      <w:r w:rsidRPr="00DD4343">
        <w:rPr>
          <w:rFonts w:ascii="宋体" w:eastAsia="宋体" w:hAnsi="宋体" w:cs="宋体"/>
          <w:color w:val="000000" w:themeColor="text1"/>
          <w:szCs w:val="24"/>
        </w:rPr>
        <w:t>DOI: 10.1016/j.cmi.2026.07.023</w:t>
      </w:r>
    </w:p>
    <w:p w:rsidR="00330A46" w:rsidRDefault="001555BE" w:rsidP="00DD4343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42471116</w:t>
      </w:r>
    </w:p>
    <w:p w:rsidR="00BD1B0E" w:rsidRDefault="00BD1B0E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p w:rsidR="00BD1B0E" w:rsidRPr="00BD1B0E" w:rsidRDefault="00BD1B0E" w:rsidP="00BD1B0E">
      <w:pPr>
        <w:rPr>
          <w:rFonts w:ascii="宋体" w:eastAsia="宋体" w:hAnsi="宋体" w:cs="宋体"/>
          <w:b/>
          <w:color w:val="FF0000"/>
          <w:szCs w:val="24"/>
        </w:rPr>
      </w:pPr>
      <w:r w:rsidRPr="00BD1B0E">
        <w:rPr>
          <w:rFonts w:ascii="宋体" w:eastAsia="宋体" w:hAnsi="宋体" w:cs="宋体"/>
          <w:b/>
          <w:color w:val="FF0000"/>
          <w:szCs w:val="24"/>
        </w:rPr>
        <w:t>8</w:t>
      </w:r>
      <w:r w:rsidR="008043D7">
        <w:rPr>
          <w:rFonts w:ascii="宋体" w:eastAsia="宋体" w:hAnsi="宋体" w:cs="宋体"/>
          <w:b/>
          <w:color w:val="FF0000"/>
          <w:szCs w:val="24"/>
        </w:rPr>
        <w:t>1</w:t>
      </w:r>
      <w:r w:rsidRPr="00BD1B0E">
        <w:rPr>
          <w:rFonts w:ascii="宋体" w:eastAsia="宋体" w:hAnsi="宋体" w:cs="宋体" w:hint="eastAsia"/>
          <w:b/>
          <w:color w:val="FF0000"/>
          <w:szCs w:val="24"/>
        </w:rPr>
        <w:t xml:space="preserve">. J Mol Graph Model. 2026 Jul 17;148:109519. doi: 10.1016/j.jmgm.2026.109519. </w:t>
      </w:r>
    </w:p>
    <w:p w:rsidR="00BD1B0E" w:rsidRPr="00BD1B0E" w:rsidRDefault="00BD1B0E" w:rsidP="00BD1B0E">
      <w:pPr>
        <w:rPr>
          <w:rFonts w:ascii="宋体" w:eastAsia="宋体" w:hAnsi="宋体" w:cs="宋体"/>
          <w:b/>
          <w:color w:val="FF0000"/>
          <w:szCs w:val="24"/>
        </w:rPr>
      </w:pPr>
      <w:r w:rsidRPr="00BD1B0E">
        <w:rPr>
          <w:rFonts w:ascii="宋体" w:eastAsia="宋体" w:hAnsi="宋体" w:cs="宋体" w:hint="eastAsia"/>
          <w:b/>
          <w:color w:val="FF0000"/>
          <w:szCs w:val="24"/>
        </w:rPr>
        <w:t>Online ahead of print.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MTK_MCPA: A novel magnesium-competitive inhibitor of Mycobacterium tuberculosis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thymidylate kinase.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Khan MT(1), Khan HA(2), Bibi M(3), Wu H(4).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Author information: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(1)International Center for Interdisciplinary Research in Sciences (ICIRS), The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University of Lahore, 1 KM Defence Road, Lahore, 58810, Pakistan; State Key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Laboratory of Respiratory Disease, Guangzhou Key Laboratory of Tuberculosis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Research, Department of Clinical Laboratory, Guangzhou Chest Hospital, Institute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of Tuberculosis, Guangzhou Medical University, Guangzhou, China. Electronic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address: tahirmicrobiologist@gmail.com.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(2)Department of Chemistry, University of Engineering and Technology, Main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Campus, Lahore, 54890, Pakistan. Electronic address: hassamakram.k@gmail.com.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(3)International Center for Interdisciplinary Research in Sciences (ICIRS), The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University of Lahore, 1 KM Defence Road, Lahore, 58810, Pakistan. Electronic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lastRenderedPageBreak/>
        <w:t>address: ariam1061@gmail.com.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(4)Shenzhen Institutes of Advanced Technology (SIAT), Chinese Academy of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Sciences (CAS), Shenzhen, China. Electronic address: hy.wu@siat.ac.cn.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Tuberculosis (TB) is one of the leading causes of mortality among infectious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diseases. The emergence of multidrug-resistant (MDR) and extensively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drug-resistant (XDR) strains necessitates the development of novel therapeutic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agents. The current study aimed to screen some novel natural inhibitors against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TB. Here, we present the computational identification and characterization of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N-mesityl-2-((2-oxo-2,5,6,7-tetrahydro-1H-cyclopenta[d]pyrimidin-4-yl)thio)acetamide (MTK_MCPA) as a potential inhibitor of Mycobacterium tuberculosis thymidylate kinase (TMPKmt), an essential enzyme involved in DNA replication. Through structure-based virtual screening using DrugClip, MTK_MCPA was identified from a library of natural compounds and selected for its good binding affinity (Vina score -8.68</w:t>
      </w:r>
      <w:r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>
        <w:rPr>
          <w:rFonts w:ascii="宋体" w:eastAsia="宋体" w:hAnsi="宋体" w:cs="宋体" w:hint="eastAsia"/>
          <w:color w:val="000000" w:themeColor="text1"/>
          <w:szCs w:val="24"/>
        </w:rPr>
        <w:t>kcal/mol), favorable drug-like properties (MW 343.44</w:t>
      </w:r>
      <w:r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>
        <w:rPr>
          <w:rFonts w:ascii="宋体" w:eastAsia="宋体" w:hAnsi="宋体" w:cs="宋体" w:hint="eastAsia"/>
          <w:color w:val="000000" w:themeColor="text1"/>
          <w:szCs w:val="24"/>
        </w:rPr>
        <w:t>Da, LogP 3.05, QED 0.66), and no violations of Lipinski's Rule of Five. DFT computational analysis revealed a HOMO-LUMO energy gap of 0.1347 a.u (</w:t>
      </w:r>
      <w:r>
        <w:rPr>
          <w:rFonts w:ascii="Cambria Math" w:eastAsia="宋体" w:hAnsi="Cambria Math" w:cs="Cambria Math"/>
          <w:color w:val="000000" w:themeColor="text1"/>
          <w:szCs w:val="24"/>
        </w:rPr>
        <w:t>∼</w:t>
      </w:r>
      <w:r>
        <w:rPr>
          <w:rFonts w:ascii="宋体" w:eastAsia="宋体" w:hAnsi="宋体" w:cs="宋体" w:hint="eastAsia"/>
          <w:color w:val="000000" w:themeColor="text1"/>
          <w:szCs w:val="24"/>
        </w:rPr>
        <w:t>3.67</w:t>
      </w:r>
      <w:r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eV), with the electron density distributed across protein-ligand interactions. Molecular dynamics simulations over 500 ns demonstrated stable formation of the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MTK_MCPA-TMPKmt complex and specific interactions involving hydrogen bonds with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Tyr179, Lys13, Arg149, Arg95, and Asp9, along with hydrophobic contacts.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Principal component and free energy landscape analyses confirmed that MTK_MCPA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traps TMPKmt in multiple low-energy conformational states that prevent the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magnesium coordination required for catalytic activity. Mechanistically,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MTK_MCPA inhibits TMPKmt via a hybrid hydrophobic-electrostatic strategy and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exhibits favorable drug-like properties, including the mesityl-thioacetamide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region, which functions as a "hydrophobic clamp" that captures the LID in a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semi-closed conformation, blocking Mg2+ binding. The average total binding free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energy was (dG) of -55.32</w:t>
      </w:r>
      <w:r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kcal/mol, and a non-solvent contribution (dG(NS))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averaging -86.87</w:t>
      </w:r>
      <w:r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>
        <w:rPr>
          <w:rFonts w:ascii="宋体" w:eastAsia="宋体" w:hAnsi="宋体" w:cs="宋体" w:hint="eastAsia"/>
          <w:color w:val="000000" w:themeColor="text1"/>
          <w:szCs w:val="24"/>
        </w:rPr>
        <w:t xml:space="preserve">kcal/mol. These negative values indicate strong interactions,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including van der Waals forces and hydrogen bonding. ADMET profiling confirmed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highly favorable medicinal properties. These computational findings show that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 xml:space="preserve">MTK_MCPA may serve as a promising lead compound for anti-TB drug development 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with potential efficacy against drug-resistant TB strains.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Copyright © 2026 Elsevier Inc. All rights reserved.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DOI: 10.1016/j.jmgm.2026.109519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 w:hint="eastAsia"/>
          <w:color w:val="000000" w:themeColor="text1"/>
          <w:szCs w:val="24"/>
        </w:rPr>
        <w:t>PMID: 42468132</w:t>
      </w:r>
    </w:p>
    <w:p w:rsidR="00BD1B0E" w:rsidRDefault="00BD1B0E" w:rsidP="00BD1B0E">
      <w:pPr>
        <w:rPr>
          <w:rFonts w:ascii="宋体" w:eastAsia="宋体" w:hAnsi="宋体" w:cs="宋体"/>
          <w:color w:val="000000" w:themeColor="text1"/>
          <w:szCs w:val="24"/>
        </w:rPr>
      </w:pPr>
    </w:p>
    <w:p w:rsidR="00BD1B0E" w:rsidRPr="00BB32E5" w:rsidRDefault="00BD1B0E" w:rsidP="00DD4343">
      <w:pPr>
        <w:rPr>
          <w:rFonts w:ascii="宋体" w:eastAsia="宋体" w:hAnsi="宋体" w:cs="宋体"/>
          <w:color w:val="000000" w:themeColor="text1"/>
          <w:szCs w:val="24"/>
        </w:rPr>
      </w:pPr>
    </w:p>
    <w:sectPr w:rsidR="00BD1B0E" w:rsidRPr="00BB32E5" w:rsidSect="00A47695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907" w:rsidRDefault="00642907" w:rsidP="00913F6F">
      <w:r>
        <w:separator/>
      </w:r>
    </w:p>
  </w:endnote>
  <w:endnote w:type="continuationSeparator" w:id="0">
    <w:p w:rsidR="00642907" w:rsidRDefault="00642907" w:rsidP="0091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907" w:rsidRDefault="00642907" w:rsidP="00913F6F">
      <w:r>
        <w:separator/>
      </w:r>
    </w:p>
  </w:footnote>
  <w:footnote w:type="continuationSeparator" w:id="0">
    <w:p w:rsidR="00642907" w:rsidRDefault="00642907" w:rsidP="00913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88"/>
    <w:rsid w:val="00000EB4"/>
    <w:rsid w:val="00001BCE"/>
    <w:rsid w:val="00004FA0"/>
    <w:rsid w:val="00005480"/>
    <w:rsid w:val="0000548B"/>
    <w:rsid w:val="00005BFA"/>
    <w:rsid w:val="00006312"/>
    <w:rsid w:val="00006445"/>
    <w:rsid w:val="00006AD1"/>
    <w:rsid w:val="00007FE2"/>
    <w:rsid w:val="00010E83"/>
    <w:rsid w:val="0001109E"/>
    <w:rsid w:val="00011EE4"/>
    <w:rsid w:val="00014ACD"/>
    <w:rsid w:val="00014B97"/>
    <w:rsid w:val="00014C5C"/>
    <w:rsid w:val="000151BC"/>
    <w:rsid w:val="000163F8"/>
    <w:rsid w:val="0001793D"/>
    <w:rsid w:val="00017A03"/>
    <w:rsid w:val="00017EFF"/>
    <w:rsid w:val="00020101"/>
    <w:rsid w:val="00020316"/>
    <w:rsid w:val="0002051D"/>
    <w:rsid w:val="00021027"/>
    <w:rsid w:val="00021F93"/>
    <w:rsid w:val="00025A11"/>
    <w:rsid w:val="00026111"/>
    <w:rsid w:val="00026718"/>
    <w:rsid w:val="00030012"/>
    <w:rsid w:val="000309FE"/>
    <w:rsid w:val="000313FC"/>
    <w:rsid w:val="00032CAA"/>
    <w:rsid w:val="00032F94"/>
    <w:rsid w:val="000340CF"/>
    <w:rsid w:val="0003428A"/>
    <w:rsid w:val="00035E04"/>
    <w:rsid w:val="00036F5C"/>
    <w:rsid w:val="000370E0"/>
    <w:rsid w:val="000379B3"/>
    <w:rsid w:val="00037A3B"/>
    <w:rsid w:val="00040872"/>
    <w:rsid w:val="00042020"/>
    <w:rsid w:val="00042414"/>
    <w:rsid w:val="00042556"/>
    <w:rsid w:val="00042899"/>
    <w:rsid w:val="00044A66"/>
    <w:rsid w:val="00044B78"/>
    <w:rsid w:val="00044C28"/>
    <w:rsid w:val="00045FBC"/>
    <w:rsid w:val="000461EE"/>
    <w:rsid w:val="0004682E"/>
    <w:rsid w:val="00047272"/>
    <w:rsid w:val="000474E6"/>
    <w:rsid w:val="00047D13"/>
    <w:rsid w:val="000505E8"/>
    <w:rsid w:val="00050E61"/>
    <w:rsid w:val="00051DD5"/>
    <w:rsid w:val="000527D8"/>
    <w:rsid w:val="00052E5C"/>
    <w:rsid w:val="000531C2"/>
    <w:rsid w:val="0005401D"/>
    <w:rsid w:val="0005489E"/>
    <w:rsid w:val="00054996"/>
    <w:rsid w:val="000549F5"/>
    <w:rsid w:val="000552EE"/>
    <w:rsid w:val="000567C6"/>
    <w:rsid w:val="00056ACF"/>
    <w:rsid w:val="0006072D"/>
    <w:rsid w:val="00060930"/>
    <w:rsid w:val="00061C4E"/>
    <w:rsid w:val="00061F05"/>
    <w:rsid w:val="00062062"/>
    <w:rsid w:val="0006216E"/>
    <w:rsid w:val="0006285F"/>
    <w:rsid w:val="00063F03"/>
    <w:rsid w:val="00064D3B"/>
    <w:rsid w:val="000661FE"/>
    <w:rsid w:val="00067B6F"/>
    <w:rsid w:val="00067C37"/>
    <w:rsid w:val="00070238"/>
    <w:rsid w:val="00070407"/>
    <w:rsid w:val="0007049C"/>
    <w:rsid w:val="00071826"/>
    <w:rsid w:val="00072366"/>
    <w:rsid w:val="000724C3"/>
    <w:rsid w:val="00074388"/>
    <w:rsid w:val="00076272"/>
    <w:rsid w:val="00077EC3"/>
    <w:rsid w:val="000802F3"/>
    <w:rsid w:val="0008127A"/>
    <w:rsid w:val="000814BF"/>
    <w:rsid w:val="00082113"/>
    <w:rsid w:val="000823C5"/>
    <w:rsid w:val="00083685"/>
    <w:rsid w:val="00084FA1"/>
    <w:rsid w:val="00085FFF"/>
    <w:rsid w:val="0008630A"/>
    <w:rsid w:val="00086502"/>
    <w:rsid w:val="00087251"/>
    <w:rsid w:val="00090B3F"/>
    <w:rsid w:val="00090B53"/>
    <w:rsid w:val="0009167A"/>
    <w:rsid w:val="00091781"/>
    <w:rsid w:val="00091D4F"/>
    <w:rsid w:val="0009258E"/>
    <w:rsid w:val="00092CA5"/>
    <w:rsid w:val="00092F7F"/>
    <w:rsid w:val="00093EB4"/>
    <w:rsid w:val="000943C3"/>
    <w:rsid w:val="0009444D"/>
    <w:rsid w:val="00094774"/>
    <w:rsid w:val="00094D1C"/>
    <w:rsid w:val="0009523F"/>
    <w:rsid w:val="000961CE"/>
    <w:rsid w:val="000966AA"/>
    <w:rsid w:val="000A087D"/>
    <w:rsid w:val="000A0ACA"/>
    <w:rsid w:val="000A0F96"/>
    <w:rsid w:val="000A124E"/>
    <w:rsid w:val="000A127A"/>
    <w:rsid w:val="000A1434"/>
    <w:rsid w:val="000A1D4B"/>
    <w:rsid w:val="000A2127"/>
    <w:rsid w:val="000A2D53"/>
    <w:rsid w:val="000A2F2E"/>
    <w:rsid w:val="000A37C7"/>
    <w:rsid w:val="000A3943"/>
    <w:rsid w:val="000A3E0E"/>
    <w:rsid w:val="000A47E7"/>
    <w:rsid w:val="000A496C"/>
    <w:rsid w:val="000A4A7D"/>
    <w:rsid w:val="000A51E6"/>
    <w:rsid w:val="000A5D84"/>
    <w:rsid w:val="000A6101"/>
    <w:rsid w:val="000A72A6"/>
    <w:rsid w:val="000B00E0"/>
    <w:rsid w:val="000B0CA1"/>
    <w:rsid w:val="000B0CAE"/>
    <w:rsid w:val="000B1016"/>
    <w:rsid w:val="000B115F"/>
    <w:rsid w:val="000B13CA"/>
    <w:rsid w:val="000B16AA"/>
    <w:rsid w:val="000B18A0"/>
    <w:rsid w:val="000B2704"/>
    <w:rsid w:val="000B2997"/>
    <w:rsid w:val="000B2D0A"/>
    <w:rsid w:val="000B39CD"/>
    <w:rsid w:val="000B579D"/>
    <w:rsid w:val="000B58BE"/>
    <w:rsid w:val="000B5A38"/>
    <w:rsid w:val="000B5C58"/>
    <w:rsid w:val="000B6618"/>
    <w:rsid w:val="000B6906"/>
    <w:rsid w:val="000B6914"/>
    <w:rsid w:val="000B6D3C"/>
    <w:rsid w:val="000B7B81"/>
    <w:rsid w:val="000B7B97"/>
    <w:rsid w:val="000C04D5"/>
    <w:rsid w:val="000C1093"/>
    <w:rsid w:val="000C2AB1"/>
    <w:rsid w:val="000C3590"/>
    <w:rsid w:val="000C3A90"/>
    <w:rsid w:val="000C488A"/>
    <w:rsid w:val="000C5482"/>
    <w:rsid w:val="000C614D"/>
    <w:rsid w:val="000C683A"/>
    <w:rsid w:val="000C71E1"/>
    <w:rsid w:val="000D02D3"/>
    <w:rsid w:val="000D205B"/>
    <w:rsid w:val="000D2241"/>
    <w:rsid w:val="000D2A9B"/>
    <w:rsid w:val="000D2B94"/>
    <w:rsid w:val="000D2F64"/>
    <w:rsid w:val="000D3403"/>
    <w:rsid w:val="000D5656"/>
    <w:rsid w:val="000D6450"/>
    <w:rsid w:val="000D7BF2"/>
    <w:rsid w:val="000E052F"/>
    <w:rsid w:val="000E2388"/>
    <w:rsid w:val="000E2E0D"/>
    <w:rsid w:val="000E4DF7"/>
    <w:rsid w:val="000E615C"/>
    <w:rsid w:val="000E6A33"/>
    <w:rsid w:val="000E6C23"/>
    <w:rsid w:val="000E713B"/>
    <w:rsid w:val="000F0847"/>
    <w:rsid w:val="000F0A49"/>
    <w:rsid w:val="000F0D00"/>
    <w:rsid w:val="000F1E63"/>
    <w:rsid w:val="000F1FFB"/>
    <w:rsid w:val="000F24D7"/>
    <w:rsid w:val="000F3795"/>
    <w:rsid w:val="000F39E9"/>
    <w:rsid w:val="000F3B6A"/>
    <w:rsid w:val="000F41CE"/>
    <w:rsid w:val="000F5BE2"/>
    <w:rsid w:val="000F6938"/>
    <w:rsid w:val="000F6B20"/>
    <w:rsid w:val="000F7FE8"/>
    <w:rsid w:val="001009A0"/>
    <w:rsid w:val="00100A49"/>
    <w:rsid w:val="00101FDC"/>
    <w:rsid w:val="0010360B"/>
    <w:rsid w:val="00103B38"/>
    <w:rsid w:val="001045B5"/>
    <w:rsid w:val="00104C1E"/>
    <w:rsid w:val="00104CC5"/>
    <w:rsid w:val="00106495"/>
    <w:rsid w:val="001100AE"/>
    <w:rsid w:val="001111F4"/>
    <w:rsid w:val="00112102"/>
    <w:rsid w:val="001128DA"/>
    <w:rsid w:val="00113B07"/>
    <w:rsid w:val="001146C5"/>
    <w:rsid w:val="00115AA0"/>
    <w:rsid w:val="001160B6"/>
    <w:rsid w:val="00117A55"/>
    <w:rsid w:val="00117E9C"/>
    <w:rsid w:val="00120200"/>
    <w:rsid w:val="00120C7E"/>
    <w:rsid w:val="00122BB5"/>
    <w:rsid w:val="00123084"/>
    <w:rsid w:val="0012313C"/>
    <w:rsid w:val="001232FE"/>
    <w:rsid w:val="001239BF"/>
    <w:rsid w:val="00123B2B"/>
    <w:rsid w:val="00123D14"/>
    <w:rsid w:val="00124054"/>
    <w:rsid w:val="00124203"/>
    <w:rsid w:val="00124FA0"/>
    <w:rsid w:val="001250F8"/>
    <w:rsid w:val="001258E8"/>
    <w:rsid w:val="00130332"/>
    <w:rsid w:val="00130522"/>
    <w:rsid w:val="00131064"/>
    <w:rsid w:val="00131D02"/>
    <w:rsid w:val="00131F89"/>
    <w:rsid w:val="00132F05"/>
    <w:rsid w:val="0013385F"/>
    <w:rsid w:val="00133BD7"/>
    <w:rsid w:val="00133F6C"/>
    <w:rsid w:val="0013533E"/>
    <w:rsid w:val="00135AEE"/>
    <w:rsid w:val="00135C60"/>
    <w:rsid w:val="00135D11"/>
    <w:rsid w:val="00137D90"/>
    <w:rsid w:val="001400DC"/>
    <w:rsid w:val="00141D76"/>
    <w:rsid w:val="00142DC2"/>
    <w:rsid w:val="00143C23"/>
    <w:rsid w:val="00143FFB"/>
    <w:rsid w:val="001442A6"/>
    <w:rsid w:val="0014482B"/>
    <w:rsid w:val="00144C21"/>
    <w:rsid w:val="00145536"/>
    <w:rsid w:val="00145858"/>
    <w:rsid w:val="001460E6"/>
    <w:rsid w:val="001462BE"/>
    <w:rsid w:val="0014644D"/>
    <w:rsid w:val="00147542"/>
    <w:rsid w:val="00147E95"/>
    <w:rsid w:val="0015022B"/>
    <w:rsid w:val="00151492"/>
    <w:rsid w:val="0015230D"/>
    <w:rsid w:val="00152842"/>
    <w:rsid w:val="00152DAF"/>
    <w:rsid w:val="00152FFB"/>
    <w:rsid w:val="0015436D"/>
    <w:rsid w:val="0015447B"/>
    <w:rsid w:val="00154EEE"/>
    <w:rsid w:val="001555BE"/>
    <w:rsid w:val="00155DAB"/>
    <w:rsid w:val="00160D5D"/>
    <w:rsid w:val="00161C58"/>
    <w:rsid w:val="00162024"/>
    <w:rsid w:val="00162396"/>
    <w:rsid w:val="00162E0B"/>
    <w:rsid w:val="001631D1"/>
    <w:rsid w:val="00163933"/>
    <w:rsid w:val="00166D15"/>
    <w:rsid w:val="00166F6B"/>
    <w:rsid w:val="0016722E"/>
    <w:rsid w:val="001678E4"/>
    <w:rsid w:val="00170981"/>
    <w:rsid w:val="00170E44"/>
    <w:rsid w:val="0017293C"/>
    <w:rsid w:val="001730B3"/>
    <w:rsid w:val="00174CD2"/>
    <w:rsid w:val="00176DAB"/>
    <w:rsid w:val="00176EA2"/>
    <w:rsid w:val="00176EA9"/>
    <w:rsid w:val="001770AB"/>
    <w:rsid w:val="00177782"/>
    <w:rsid w:val="00177890"/>
    <w:rsid w:val="00180BC2"/>
    <w:rsid w:val="00182C81"/>
    <w:rsid w:val="001835CE"/>
    <w:rsid w:val="001840C6"/>
    <w:rsid w:val="00184BE2"/>
    <w:rsid w:val="00185015"/>
    <w:rsid w:val="001861C1"/>
    <w:rsid w:val="0018793A"/>
    <w:rsid w:val="00187D7F"/>
    <w:rsid w:val="00187F13"/>
    <w:rsid w:val="00190F37"/>
    <w:rsid w:val="0019686E"/>
    <w:rsid w:val="001A062A"/>
    <w:rsid w:val="001A19AA"/>
    <w:rsid w:val="001A19C3"/>
    <w:rsid w:val="001A24D1"/>
    <w:rsid w:val="001A287C"/>
    <w:rsid w:val="001A2B93"/>
    <w:rsid w:val="001A4CD3"/>
    <w:rsid w:val="001A5A10"/>
    <w:rsid w:val="001A61FD"/>
    <w:rsid w:val="001A7D2B"/>
    <w:rsid w:val="001A7F64"/>
    <w:rsid w:val="001B0C50"/>
    <w:rsid w:val="001B1917"/>
    <w:rsid w:val="001B2378"/>
    <w:rsid w:val="001B2393"/>
    <w:rsid w:val="001B2CC5"/>
    <w:rsid w:val="001B2E1D"/>
    <w:rsid w:val="001B3B23"/>
    <w:rsid w:val="001B407D"/>
    <w:rsid w:val="001B48FB"/>
    <w:rsid w:val="001B6473"/>
    <w:rsid w:val="001B6AA0"/>
    <w:rsid w:val="001C143E"/>
    <w:rsid w:val="001C2157"/>
    <w:rsid w:val="001C2709"/>
    <w:rsid w:val="001C3A11"/>
    <w:rsid w:val="001C4AAF"/>
    <w:rsid w:val="001C5349"/>
    <w:rsid w:val="001C55D4"/>
    <w:rsid w:val="001C6150"/>
    <w:rsid w:val="001C71B1"/>
    <w:rsid w:val="001D094C"/>
    <w:rsid w:val="001D12AE"/>
    <w:rsid w:val="001D135A"/>
    <w:rsid w:val="001D193B"/>
    <w:rsid w:val="001D1977"/>
    <w:rsid w:val="001D1E65"/>
    <w:rsid w:val="001D20AE"/>
    <w:rsid w:val="001D243D"/>
    <w:rsid w:val="001D35E3"/>
    <w:rsid w:val="001D3C91"/>
    <w:rsid w:val="001D49D4"/>
    <w:rsid w:val="001D4AFF"/>
    <w:rsid w:val="001D5338"/>
    <w:rsid w:val="001D6792"/>
    <w:rsid w:val="001D680A"/>
    <w:rsid w:val="001D6B99"/>
    <w:rsid w:val="001D6E95"/>
    <w:rsid w:val="001D7211"/>
    <w:rsid w:val="001E002A"/>
    <w:rsid w:val="001E0F47"/>
    <w:rsid w:val="001E184B"/>
    <w:rsid w:val="001E2408"/>
    <w:rsid w:val="001E3564"/>
    <w:rsid w:val="001E4549"/>
    <w:rsid w:val="001E4901"/>
    <w:rsid w:val="001E4B76"/>
    <w:rsid w:val="001E6B7F"/>
    <w:rsid w:val="001E6C66"/>
    <w:rsid w:val="001E7DBB"/>
    <w:rsid w:val="001E7F12"/>
    <w:rsid w:val="001F0B99"/>
    <w:rsid w:val="001F0D20"/>
    <w:rsid w:val="001F13B5"/>
    <w:rsid w:val="001F1AB3"/>
    <w:rsid w:val="001F1DDA"/>
    <w:rsid w:val="001F223F"/>
    <w:rsid w:val="001F3009"/>
    <w:rsid w:val="001F468E"/>
    <w:rsid w:val="001F47BE"/>
    <w:rsid w:val="001F7758"/>
    <w:rsid w:val="001F7BC3"/>
    <w:rsid w:val="002014D3"/>
    <w:rsid w:val="002017C2"/>
    <w:rsid w:val="00201C77"/>
    <w:rsid w:val="00202B36"/>
    <w:rsid w:val="00203139"/>
    <w:rsid w:val="0020332A"/>
    <w:rsid w:val="00203479"/>
    <w:rsid w:val="002035B2"/>
    <w:rsid w:val="00203A11"/>
    <w:rsid w:val="00204451"/>
    <w:rsid w:val="0020501F"/>
    <w:rsid w:val="0020526D"/>
    <w:rsid w:val="00206168"/>
    <w:rsid w:val="00207270"/>
    <w:rsid w:val="00210B36"/>
    <w:rsid w:val="00211D14"/>
    <w:rsid w:val="00212490"/>
    <w:rsid w:val="0021250D"/>
    <w:rsid w:val="00212E84"/>
    <w:rsid w:val="002140A1"/>
    <w:rsid w:val="00214B74"/>
    <w:rsid w:val="00214C10"/>
    <w:rsid w:val="0021558B"/>
    <w:rsid w:val="00215646"/>
    <w:rsid w:val="00217583"/>
    <w:rsid w:val="00217D7F"/>
    <w:rsid w:val="00217EAC"/>
    <w:rsid w:val="00220375"/>
    <w:rsid w:val="00220876"/>
    <w:rsid w:val="002208AD"/>
    <w:rsid w:val="00222583"/>
    <w:rsid w:val="00222BD1"/>
    <w:rsid w:val="00223A24"/>
    <w:rsid w:val="002245BB"/>
    <w:rsid w:val="00224620"/>
    <w:rsid w:val="002246DD"/>
    <w:rsid w:val="002253AA"/>
    <w:rsid w:val="00225946"/>
    <w:rsid w:val="002259F8"/>
    <w:rsid w:val="00225AA2"/>
    <w:rsid w:val="00225FCA"/>
    <w:rsid w:val="00227A3A"/>
    <w:rsid w:val="00227B06"/>
    <w:rsid w:val="00230527"/>
    <w:rsid w:val="002307EA"/>
    <w:rsid w:val="002310DD"/>
    <w:rsid w:val="002327BB"/>
    <w:rsid w:val="00232D13"/>
    <w:rsid w:val="002341B8"/>
    <w:rsid w:val="00234622"/>
    <w:rsid w:val="002354A4"/>
    <w:rsid w:val="00235C0D"/>
    <w:rsid w:val="0023625F"/>
    <w:rsid w:val="002374E2"/>
    <w:rsid w:val="00237947"/>
    <w:rsid w:val="00237F69"/>
    <w:rsid w:val="0024041B"/>
    <w:rsid w:val="0024169A"/>
    <w:rsid w:val="00241991"/>
    <w:rsid w:val="00241AAF"/>
    <w:rsid w:val="00241CCB"/>
    <w:rsid w:val="00241EF5"/>
    <w:rsid w:val="00243AAC"/>
    <w:rsid w:val="00243CAB"/>
    <w:rsid w:val="00245848"/>
    <w:rsid w:val="00247A30"/>
    <w:rsid w:val="00247DD5"/>
    <w:rsid w:val="00251D15"/>
    <w:rsid w:val="00252055"/>
    <w:rsid w:val="0025206B"/>
    <w:rsid w:val="002521B7"/>
    <w:rsid w:val="002531F0"/>
    <w:rsid w:val="0025385D"/>
    <w:rsid w:val="00254746"/>
    <w:rsid w:val="002549C3"/>
    <w:rsid w:val="002553EB"/>
    <w:rsid w:val="002560F7"/>
    <w:rsid w:val="00261FA0"/>
    <w:rsid w:val="002625F3"/>
    <w:rsid w:val="002627B3"/>
    <w:rsid w:val="0026297A"/>
    <w:rsid w:val="002644D4"/>
    <w:rsid w:val="00264B9F"/>
    <w:rsid w:val="00264CEA"/>
    <w:rsid w:val="00264E19"/>
    <w:rsid w:val="00265139"/>
    <w:rsid w:val="00266E21"/>
    <w:rsid w:val="00267E57"/>
    <w:rsid w:val="00270108"/>
    <w:rsid w:val="00270744"/>
    <w:rsid w:val="00270A23"/>
    <w:rsid w:val="002722A7"/>
    <w:rsid w:val="002728C5"/>
    <w:rsid w:val="00273A9C"/>
    <w:rsid w:val="0027416D"/>
    <w:rsid w:val="00274293"/>
    <w:rsid w:val="00275956"/>
    <w:rsid w:val="00275EC1"/>
    <w:rsid w:val="00277AFE"/>
    <w:rsid w:val="00277F10"/>
    <w:rsid w:val="0028042B"/>
    <w:rsid w:val="00280E39"/>
    <w:rsid w:val="00280F31"/>
    <w:rsid w:val="00281CB1"/>
    <w:rsid w:val="0028209D"/>
    <w:rsid w:val="0028230D"/>
    <w:rsid w:val="00282B0E"/>
    <w:rsid w:val="00282F1F"/>
    <w:rsid w:val="0028314F"/>
    <w:rsid w:val="0028424E"/>
    <w:rsid w:val="002848FA"/>
    <w:rsid w:val="00285197"/>
    <w:rsid w:val="00285319"/>
    <w:rsid w:val="00285E4E"/>
    <w:rsid w:val="0028600C"/>
    <w:rsid w:val="00286550"/>
    <w:rsid w:val="00286887"/>
    <w:rsid w:val="002868D6"/>
    <w:rsid w:val="00286A29"/>
    <w:rsid w:val="002874B2"/>
    <w:rsid w:val="002874EE"/>
    <w:rsid w:val="00287640"/>
    <w:rsid w:val="00290B6B"/>
    <w:rsid w:val="00290E55"/>
    <w:rsid w:val="00290E94"/>
    <w:rsid w:val="00292A20"/>
    <w:rsid w:val="00292BA6"/>
    <w:rsid w:val="00294663"/>
    <w:rsid w:val="00295075"/>
    <w:rsid w:val="00295697"/>
    <w:rsid w:val="00295B81"/>
    <w:rsid w:val="00295B85"/>
    <w:rsid w:val="0029689E"/>
    <w:rsid w:val="00296D7C"/>
    <w:rsid w:val="00296E3B"/>
    <w:rsid w:val="00297519"/>
    <w:rsid w:val="00297B5A"/>
    <w:rsid w:val="00297DED"/>
    <w:rsid w:val="002A042C"/>
    <w:rsid w:val="002A07FE"/>
    <w:rsid w:val="002A0E2E"/>
    <w:rsid w:val="002A0F6A"/>
    <w:rsid w:val="002A1472"/>
    <w:rsid w:val="002A1A26"/>
    <w:rsid w:val="002A1AAB"/>
    <w:rsid w:val="002A1B06"/>
    <w:rsid w:val="002A3C42"/>
    <w:rsid w:val="002A41A5"/>
    <w:rsid w:val="002A547E"/>
    <w:rsid w:val="002A5D78"/>
    <w:rsid w:val="002A65AC"/>
    <w:rsid w:val="002A75CF"/>
    <w:rsid w:val="002A7D07"/>
    <w:rsid w:val="002B16D1"/>
    <w:rsid w:val="002B18EF"/>
    <w:rsid w:val="002B1A87"/>
    <w:rsid w:val="002B3BDD"/>
    <w:rsid w:val="002B3D2D"/>
    <w:rsid w:val="002B4B9B"/>
    <w:rsid w:val="002B5B8F"/>
    <w:rsid w:val="002B6556"/>
    <w:rsid w:val="002B7F0A"/>
    <w:rsid w:val="002C0EEC"/>
    <w:rsid w:val="002C2226"/>
    <w:rsid w:val="002C3527"/>
    <w:rsid w:val="002C589E"/>
    <w:rsid w:val="002C6147"/>
    <w:rsid w:val="002C656A"/>
    <w:rsid w:val="002C6883"/>
    <w:rsid w:val="002C6919"/>
    <w:rsid w:val="002C6A30"/>
    <w:rsid w:val="002C729F"/>
    <w:rsid w:val="002D063A"/>
    <w:rsid w:val="002D1294"/>
    <w:rsid w:val="002D1B15"/>
    <w:rsid w:val="002D259B"/>
    <w:rsid w:val="002D2D2F"/>
    <w:rsid w:val="002D31AF"/>
    <w:rsid w:val="002D38DC"/>
    <w:rsid w:val="002D3BE5"/>
    <w:rsid w:val="002D3C81"/>
    <w:rsid w:val="002D465E"/>
    <w:rsid w:val="002D4F47"/>
    <w:rsid w:val="002D538B"/>
    <w:rsid w:val="002D5586"/>
    <w:rsid w:val="002D5B3D"/>
    <w:rsid w:val="002D724F"/>
    <w:rsid w:val="002E0C52"/>
    <w:rsid w:val="002E131C"/>
    <w:rsid w:val="002E1548"/>
    <w:rsid w:val="002E1CF6"/>
    <w:rsid w:val="002E1DE8"/>
    <w:rsid w:val="002E27A4"/>
    <w:rsid w:val="002E28FD"/>
    <w:rsid w:val="002E3CE7"/>
    <w:rsid w:val="002E40C2"/>
    <w:rsid w:val="002E75F4"/>
    <w:rsid w:val="002E7B15"/>
    <w:rsid w:val="002E7C80"/>
    <w:rsid w:val="002F014F"/>
    <w:rsid w:val="002F1E20"/>
    <w:rsid w:val="002F2207"/>
    <w:rsid w:val="002F3F3D"/>
    <w:rsid w:val="002F476D"/>
    <w:rsid w:val="002F53B0"/>
    <w:rsid w:val="002F6002"/>
    <w:rsid w:val="002F7D45"/>
    <w:rsid w:val="00300B54"/>
    <w:rsid w:val="00300C4C"/>
    <w:rsid w:val="00300CA5"/>
    <w:rsid w:val="00300DAB"/>
    <w:rsid w:val="00301687"/>
    <w:rsid w:val="003029A2"/>
    <w:rsid w:val="00302A36"/>
    <w:rsid w:val="003030D7"/>
    <w:rsid w:val="00303164"/>
    <w:rsid w:val="003040D8"/>
    <w:rsid w:val="0030565A"/>
    <w:rsid w:val="0030587F"/>
    <w:rsid w:val="00305F0C"/>
    <w:rsid w:val="003064FE"/>
    <w:rsid w:val="003074D8"/>
    <w:rsid w:val="003077B3"/>
    <w:rsid w:val="00307B01"/>
    <w:rsid w:val="00307B4A"/>
    <w:rsid w:val="00311A67"/>
    <w:rsid w:val="00311FA9"/>
    <w:rsid w:val="003126AE"/>
    <w:rsid w:val="00312C1D"/>
    <w:rsid w:val="00312E3F"/>
    <w:rsid w:val="0031350B"/>
    <w:rsid w:val="00313587"/>
    <w:rsid w:val="003142FD"/>
    <w:rsid w:val="003146B0"/>
    <w:rsid w:val="003146D6"/>
    <w:rsid w:val="00314966"/>
    <w:rsid w:val="00314BE0"/>
    <w:rsid w:val="00314F1F"/>
    <w:rsid w:val="0031631B"/>
    <w:rsid w:val="00316533"/>
    <w:rsid w:val="00317ED1"/>
    <w:rsid w:val="003209BB"/>
    <w:rsid w:val="003215E0"/>
    <w:rsid w:val="003220BD"/>
    <w:rsid w:val="003226F0"/>
    <w:rsid w:val="0032285D"/>
    <w:rsid w:val="00322D2F"/>
    <w:rsid w:val="0032331B"/>
    <w:rsid w:val="00323932"/>
    <w:rsid w:val="00325675"/>
    <w:rsid w:val="00325F86"/>
    <w:rsid w:val="003269F0"/>
    <w:rsid w:val="003278EB"/>
    <w:rsid w:val="00327C93"/>
    <w:rsid w:val="00330401"/>
    <w:rsid w:val="00330A46"/>
    <w:rsid w:val="0033263C"/>
    <w:rsid w:val="00332F79"/>
    <w:rsid w:val="00333688"/>
    <w:rsid w:val="00333A35"/>
    <w:rsid w:val="00334B36"/>
    <w:rsid w:val="003356DC"/>
    <w:rsid w:val="00335CCC"/>
    <w:rsid w:val="00335F35"/>
    <w:rsid w:val="003363F3"/>
    <w:rsid w:val="00336859"/>
    <w:rsid w:val="00336944"/>
    <w:rsid w:val="003372AB"/>
    <w:rsid w:val="00337545"/>
    <w:rsid w:val="0033783D"/>
    <w:rsid w:val="003406AB"/>
    <w:rsid w:val="00341F54"/>
    <w:rsid w:val="00342039"/>
    <w:rsid w:val="00342091"/>
    <w:rsid w:val="00342913"/>
    <w:rsid w:val="0034466B"/>
    <w:rsid w:val="00344804"/>
    <w:rsid w:val="00346EFA"/>
    <w:rsid w:val="00350F89"/>
    <w:rsid w:val="003529D4"/>
    <w:rsid w:val="003535CE"/>
    <w:rsid w:val="003541CB"/>
    <w:rsid w:val="0036034D"/>
    <w:rsid w:val="00360C14"/>
    <w:rsid w:val="0036168A"/>
    <w:rsid w:val="00362B9A"/>
    <w:rsid w:val="00362EE3"/>
    <w:rsid w:val="003645BC"/>
    <w:rsid w:val="003648C3"/>
    <w:rsid w:val="00364A17"/>
    <w:rsid w:val="00364EE5"/>
    <w:rsid w:val="00365E7B"/>
    <w:rsid w:val="0036630B"/>
    <w:rsid w:val="0036772D"/>
    <w:rsid w:val="00370021"/>
    <w:rsid w:val="00370067"/>
    <w:rsid w:val="00370FE4"/>
    <w:rsid w:val="003712DE"/>
    <w:rsid w:val="003718DB"/>
    <w:rsid w:val="00372093"/>
    <w:rsid w:val="003736DE"/>
    <w:rsid w:val="003738F1"/>
    <w:rsid w:val="00375393"/>
    <w:rsid w:val="003759FA"/>
    <w:rsid w:val="00375EDD"/>
    <w:rsid w:val="00376FA2"/>
    <w:rsid w:val="00377122"/>
    <w:rsid w:val="003777B5"/>
    <w:rsid w:val="0038000A"/>
    <w:rsid w:val="0038007F"/>
    <w:rsid w:val="00380B8A"/>
    <w:rsid w:val="00380E38"/>
    <w:rsid w:val="00380E48"/>
    <w:rsid w:val="0038188B"/>
    <w:rsid w:val="00381BDE"/>
    <w:rsid w:val="00381CCA"/>
    <w:rsid w:val="00383DE7"/>
    <w:rsid w:val="00384F9F"/>
    <w:rsid w:val="0038579F"/>
    <w:rsid w:val="00385874"/>
    <w:rsid w:val="0038597F"/>
    <w:rsid w:val="003909A2"/>
    <w:rsid w:val="00391EB5"/>
    <w:rsid w:val="00392265"/>
    <w:rsid w:val="00392AC6"/>
    <w:rsid w:val="00393A15"/>
    <w:rsid w:val="00393DEA"/>
    <w:rsid w:val="003946E6"/>
    <w:rsid w:val="00394EE4"/>
    <w:rsid w:val="00396814"/>
    <w:rsid w:val="00396D0C"/>
    <w:rsid w:val="00397151"/>
    <w:rsid w:val="00397B01"/>
    <w:rsid w:val="00397FD1"/>
    <w:rsid w:val="003A0553"/>
    <w:rsid w:val="003A0926"/>
    <w:rsid w:val="003A1FAA"/>
    <w:rsid w:val="003A1FFA"/>
    <w:rsid w:val="003A444E"/>
    <w:rsid w:val="003A58E9"/>
    <w:rsid w:val="003A78A7"/>
    <w:rsid w:val="003A79FB"/>
    <w:rsid w:val="003B0585"/>
    <w:rsid w:val="003B066E"/>
    <w:rsid w:val="003B0F3B"/>
    <w:rsid w:val="003B14F6"/>
    <w:rsid w:val="003B1A72"/>
    <w:rsid w:val="003B2353"/>
    <w:rsid w:val="003B2FBC"/>
    <w:rsid w:val="003B3FE2"/>
    <w:rsid w:val="003B42D8"/>
    <w:rsid w:val="003B4B60"/>
    <w:rsid w:val="003B5AED"/>
    <w:rsid w:val="003B7E64"/>
    <w:rsid w:val="003B7EE8"/>
    <w:rsid w:val="003C18CE"/>
    <w:rsid w:val="003C237E"/>
    <w:rsid w:val="003C323A"/>
    <w:rsid w:val="003C3D28"/>
    <w:rsid w:val="003C455F"/>
    <w:rsid w:val="003C4CED"/>
    <w:rsid w:val="003C5A64"/>
    <w:rsid w:val="003C750E"/>
    <w:rsid w:val="003C7907"/>
    <w:rsid w:val="003C7F17"/>
    <w:rsid w:val="003D03AE"/>
    <w:rsid w:val="003D0460"/>
    <w:rsid w:val="003D04A0"/>
    <w:rsid w:val="003D070F"/>
    <w:rsid w:val="003D09D8"/>
    <w:rsid w:val="003D1089"/>
    <w:rsid w:val="003D1633"/>
    <w:rsid w:val="003D1D73"/>
    <w:rsid w:val="003D357E"/>
    <w:rsid w:val="003D46F1"/>
    <w:rsid w:val="003D5569"/>
    <w:rsid w:val="003D6513"/>
    <w:rsid w:val="003E00FA"/>
    <w:rsid w:val="003E083A"/>
    <w:rsid w:val="003E1C2A"/>
    <w:rsid w:val="003E3CDD"/>
    <w:rsid w:val="003E4726"/>
    <w:rsid w:val="003E4DBD"/>
    <w:rsid w:val="003E6317"/>
    <w:rsid w:val="003E71B7"/>
    <w:rsid w:val="003E7B60"/>
    <w:rsid w:val="003E7ED3"/>
    <w:rsid w:val="003E7F6D"/>
    <w:rsid w:val="003F0272"/>
    <w:rsid w:val="003F031F"/>
    <w:rsid w:val="003F08C1"/>
    <w:rsid w:val="003F0AD7"/>
    <w:rsid w:val="003F2BA8"/>
    <w:rsid w:val="003F4118"/>
    <w:rsid w:val="003F4499"/>
    <w:rsid w:val="003F5554"/>
    <w:rsid w:val="003F57D2"/>
    <w:rsid w:val="00401169"/>
    <w:rsid w:val="00401365"/>
    <w:rsid w:val="00401A85"/>
    <w:rsid w:val="00403465"/>
    <w:rsid w:val="00406903"/>
    <w:rsid w:val="0040767C"/>
    <w:rsid w:val="00407CFA"/>
    <w:rsid w:val="004101F1"/>
    <w:rsid w:val="00410F68"/>
    <w:rsid w:val="0041101A"/>
    <w:rsid w:val="00411B7C"/>
    <w:rsid w:val="004151E5"/>
    <w:rsid w:val="00415641"/>
    <w:rsid w:val="00415C72"/>
    <w:rsid w:val="00417747"/>
    <w:rsid w:val="00417B69"/>
    <w:rsid w:val="00417BBC"/>
    <w:rsid w:val="004209F6"/>
    <w:rsid w:val="00420CA6"/>
    <w:rsid w:val="00421470"/>
    <w:rsid w:val="00421A67"/>
    <w:rsid w:val="004226A8"/>
    <w:rsid w:val="00422E27"/>
    <w:rsid w:val="00423A83"/>
    <w:rsid w:val="004241F2"/>
    <w:rsid w:val="00427072"/>
    <w:rsid w:val="00427D12"/>
    <w:rsid w:val="00430C9D"/>
    <w:rsid w:val="00431303"/>
    <w:rsid w:val="00431605"/>
    <w:rsid w:val="004317E7"/>
    <w:rsid w:val="00431BD7"/>
    <w:rsid w:val="0043259D"/>
    <w:rsid w:val="004326CB"/>
    <w:rsid w:val="0043364E"/>
    <w:rsid w:val="004337CA"/>
    <w:rsid w:val="004339F5"/>
    <w:rsid w:val="00434DB0"/>
    <w:rsid w:val="0043521F"/>
    <w:rsid w:val="004369E9"/>
    <w:rsid w:val="00437FB0"/>
    <w:rsid w:val="00440A9B"/>
    <w:rsid w:val="00441CB7"/>
    <w:rsid w:val="00442959"/>
    <w:rsid w:val="00442B95"/>
    <w:rsid w:val="00443E05"/>
    <w:rsid w:val="004440BA"/>
    <w:rsid w:val="004450FB"/>
    <w:rsid w:val="00445797"/>
    <w:rsid w:val="00445F7F"/>
    <w:rsid w:val="0044721A"/>
    <w:rsid w:val="00447302"/>
    <w:rsid w:val="0044758E"/>
    <w:rsid w:val="004476CA"/>
    <w:rsid w:val="00447F3E"/>
    <w:rsid w:val="004504D9"/>
    <w:rsid w:val="00451AAB"/>
    <w:rsid w:val="0045391C"/>
    <w:rsid w:val="00453DFE"/>
    <w:rsid w:val="00454592"/>
    <w:rsid w:val="00455971"/>
    <w:rsid w:val="00456CD2"/>
    <w:rsid w:val="00457209"/>
    <w:rsid w:val="00457EE1"/>
    <w:rsid w:val="004600C7"/>
    <w:rsid w:val="0046037D"/>
    <w:rsid w:val="004607EA"/>
    <w:rsid w:val="004610B6"/>
    <w:rsid w:val="004638B4"/>
    <w:rsid w:val="00463D21"/>
    <w:rsid w:val="00463E85"/>
    <w:rsid w:val="00465181"/>
    <w:rsid w:val="004656EA"/>
    <w:rsid w:val="00465FAF"/>
    <w:rsid w:val="00466B16"/>
    <w:rsid w:val="00466CA2"/>
    <w:rsid w:val="00467E83"/>
    <w:rsid w:val="00470778"/>
    <w:rsid w:val="00470B22"/>
    <w:rsid w:val="004716E4"/>
    <w:rsid w:val="0047269D"/>
    <w:rsid w:val="00472728"/>
    <w:rsid w:val="00472B29"/>
    <w:rsid w:val="00472DC5"/>
    <w:rsid w:val="00473003"/>
    <w:rsid w:val="00473333"/>
    <w:rsid w:val="0047337D"/>
    <w:rsid w:val="00473D73"/>
    <w:rsid w:val="004743FF"/>
    <w:rsid w:val="00474913"/>
    <w:rsid w:val="00474C3C"/>
    <w:rsid w:val="00475D28"/>
    <w:rsid w:val="004762C9"/>
    <w:rsid w:val="00476368"/>
    <w:rsid w:val="004776FB"/>
    <w:rsid w:val="004779D6"/>
    <w:rsid w:val="00480FE5"/>
    <w:rsid w:val="00481EE3"/>
    <w:rsid w:val="004822D6"/>
    <w:rsid w:val="0048348C"/>
    <w:rsid w:val="0048387A"/>
    <w:rsid w:val="00483D06"/>
    <w:rsid w:val="004841C3"/>
    <w:rsid w:val="004843C9"/>
    <w:rsid w:val="0048441B"/>
    <w:rsid w:val="00486346"/>
    <w:rsid w:val="004876BB"/>
    <w:rsid w:val="00487B5D"/>
    <w:rsid w:val="00487D04"/>
    <w:rsid w:val="004901C9"/>
    <w:rsid w:val="00490B2D"/>
    <w:rsid w:val="00491411"/>
    <w:rsid w:val="00491706"/>
    <w:rsid w:val="00493AC3"/>
    <w:rsid w:val="00493E36"/>
    <w:rsid w:val="00495E53"/>
    <w:rsid w:val="00496279"/>
    <w:rsid w:val="004962D2"/>
    <w:rsid w:val="00496518"/>
    <w:rsid w:val="00496A6E"/>
    <w:rsid w:val="004977DA"/>
    <w:rsid w:val="004A016E"/>
    <w:rsid w:val="004A09AB"/>
    <w:rsid w:val="004A1372"/>
    <w:rsid w:val="004A170F"/>
    <w:rsid w:val="004A2A82"/>
    <w:rsid w:val="004A4DB0"/>
    <w:rsid w:val="004A519B"/>
    <w:rsid w:val="004A53E7"/>
    <w:rsid w:val="004A5A3E"/>
    <w:rsid w:val="004A7F7B"/>
    <w:rsid w:val="004A7FBC"/>
    <w:rsid w:val="004B18EA"/>
    <w:rsid w:val="004B1D4D"/>
    <w:rsid w:val="004B350E"/>
    <w:rsid w:val="004B37DE"/>
    <w:rsid w:val="004B4871"/>
    <w:rsid w:val="004B5059"/>
    <w:rsid w:val="004B5B91"/>
    <w:rsid w:val="004B5DF7"/>
    <w:rsid w:val="004B5EFA"/>
    <w:rsid w:val="004B6026"/>
    <w:rsid w:val="004B6861"/>
    <w:rsid w:val="004B7990"/>
    <w:rsid w:val="004B7CF2"/>
    <w:rsid w:val="004C0279"/>
    <w:rsid w:val="004C036D"/>
    <w:rsid w:val="004C0B6E"/>
    <w:rsid w:val="004C1340"/>
    <w:rsid w:val="004C1FE4"/>
    <w:rsid w:val="004C2F84"/>
    <w:rsid w:val="004C3887"/>
    <w:rsid w:val="004C38BD"/>
    <w:rsid w:val="004C3D5D"/>
    <w:rsid w:val="004C3EBD"/>
    <w:rsid w:val="004C44E8"/>
    <w:rsid w:val="004C498E"/>
    <w:rsid w:val="004C4F6F"/>
    <w:rsid w:val="004C5885"/>
    <w:rsid w:val="004C6DDA"/>
    <w:rsid w:val="004C6F15"/>
    <w:rsid w:val="004D13E4"/>
    <w:rsid w:val="004D1EFB"/>
    <w:rsid w:val="004D3490"/>
    <w:rsid w:val="004D499C"/>
    <w:rsid w:val="004D55EA"/>
    <w:rsid w:val="004D716B"/>
    <w:rsid w:val="004D759F"/>
    <w:rsid w:val="004D7C05"/>
    <w:rsid w:val="004E006F"/>
    <w:rsid w:val="004E06C3"/>
    <w:rsid w:val="004E0F3C"/>
    <w:rsid w:val="004E1549"/>
    <w:rsid w:val="004E16E6"/>
    <w:rsid w:val="004E38B3"/>
    <w:rsid w:val="004E39F3"/>
    <w:rsid w:val="004E3AA1"/>
    <w:rsid w:val="004E3BEC"/>
    <w:rsid w:val="004E58E5"/>
    <w:rsid w:val="004E6304"/>
    <w:rsid w:val="004E64F0"/>
    <w:rsid w:val="004E6833"/>
    <w:rsid w:val="004E6FA6"/>
    <w:rsid w:val="004E723F"/>
    <w:rsid w:val="004E7A20"/>
    <w:rsid w:val="004F0CA6"/>
    <w:rsid w:val="004F1C58"/>
    <w:rsid w:val="004F1E5E"/>
    <w:rsid w:val="004F2478"/>
    <w:rsid w:val="004F2E12"/>
    <w:rsid w:val="004F3262"/>
    <w:rsid w:val="004F332B"/>
    <w:rsid w:val="004F3330"/>
    <w:rsid w:val="004F36A2"/>
    <w:rsid w:val="004F3E69"/>
    <w:rsid w:val="004F40F4"/>
    <w:rsid w:val="004F41D3"/>
    <w:rsid w:val="004F4C4D"/>
    <w:rsid w:val="004F4EBC"/>
    <w:rsid w:val="004F57F1"/>
    <w:rsid w:val="004F5A8B"/>
    <w:rsid w:val="004F5D28"/>
    <w:rsid w:val="004F6376"/>
    <w:rsid w:val="004F7CB6"/>
    <w:rsid w:val="004F7F18"/>
    <w:rsid w:val="00500140"/>
    <w:rsid w:val="00500BE7"/>
    <w:rsid w:val="00500F3F"/>
    <w:rsid w:val="00501280"/>
    <w:rsid w:val="00501308"/>
    <w:rsid w:val="00502292"/>
    <w:rsid w:val="00502897"/>
    <w:rsid w:val="00503AE4"/>
    <w:rsid w:val="00503D99"/>
    <w:rsid w:val="005045BA"/>
    <w:rsid w:val="00505213"/>
    <w:rsid w:val="0050552F"/>
    <w:rsid w:val="00505661"/>
    <w:rsid w:val="00505AA2"/>
    <w:rsid w:val="005062F4"/>
    <w:rsid w:val="00510435"/>
    <w:rsid w:val="00510FA6"/>
    <w:rsid w:val="005119D2"/>
    <w:rsid w:val="00512AB0"/>
    <w:rsid w:val="005131D8"/>
    <w:rsid w:val="00514976"/>
    <w:rsid w:val="00516177"/>
    <w:rsid w:val="00520E52"/>
    <w:rsid w:val="00520FC7"/>
    <w:rsid w:val="005227BB"/>
    <w:rsid w:val="0052307E"/>
    <w:rsid w:val="00523642"/>
    <w:rsid w:val="00524110"/>
    <w:rsid w:val="005256F9"/>
    <w:rsid w:val="00526B7C"/>
    <w:rsid w:val="00527B5D"/>
    <w:rsid w:val="00527D60"/>
    <w:rsid w:val="00531720"/>
    <w:rsid w:val="0053254B"/>
    <w:rsid w:val="00532DDD"/>
    <w:rsid w:val="0053308B"/>
    <w:rsid w:val="005343D5"/>
    <w:rsid w:val="00534F88"/>
    <w:rsid w:val="00536087"/>
    <w:rsid w:val="00537779"/>
    <w:rsid w:val="00542E4A"/>
    <w:rsid w:val="00543083"/>
    <w:rsid w:val="005434E7"/>
    <w:rsid w:val="005440A1"/>
    <w:rsid w:val="00544FD6"/>
    <w:rsid w:val="0054651E"/>
    <w:rsid w:val="005500BE"/>
    <w:rsid w:val="005500FD"/>
    <w:rsid w:val="00550355"/>
    <w:rsid w:val="0055091D"/>
    <w:rsid w:val="0055158B"/>
    <w:rsid w:val="0055176C"/>
    <w:rsid w:val="00552259"/>
    <w:rsid w:val="00552BCF"/>
    <w:rsid w:val="005533A6"/>
    <w:rsid w:val="00553431"/>
    <w:rsid w:val="00555475"/>
    <w:rsid w:val="005559FD"/>
    <w:rsid w:val="00555CF2"/>
    <w:rsid w:val="00556014"/>
    <w:rsid w:val="005568CE"/>
    <w:rsid w:val="0055724C"/>
    <w:rsid w:val="00560012"/>
    <w:rsid w:val="005604C8"/>
    <w:rsid w:val="005605CF"/>
    <w:rsid w:val="00560A49"/>
    <w:rsid w:val="00560F93"/>
    <w:rsid w:val="00561556"/>
    <w:rsid w:val="00561FD6"/>
    <w:rsid w:val="00562A0C"/>
    <w:rsid w:val="0056623A"/>
    <w:rsid w:val="00566C79"/>
    <w:rsid w:val="0056769E"/>
    <w:rsid w:val="005719A9"/>
    <w:rsid w:val="00571A07"/>
    <w:rsid w:val="0057219F"/>
    <w:rsid w:val="00573AF6"/>
    <w:rsid w:val="00573EFB"/>
    <w:rsid w:val="00574E7D"/>
    <w:rsid w:val="00575028"/>
    <w:rsid w:val="005767DF"/>
    <w:rsid w:val="00577E7F"/>
    <w:rsid w:val="00580397"/>
    <w:rsid w:val="00580E33"/>
    <w:rsid w:val="00580FA1"/>
    <w:rsid w:val="00580FB2"/>
    <w:rsid w:val="00581EB5"/>
    <w:rsid w:val="00582355"/>
    <w:rsid w:val="00582D45"/>
    <w:rsid w:val="005836A3"/>
    <w:rsid w:val="00583FC8"/>
    <w:rsid w:val="00584AA2"/>
    <w:rsid w:val="00584BFE"/>
    <w:rsid w:val="00584C0C"/>
    <w:rsid w:val="005859CD"/>
    <w:rsid w:val="00585CCD"/>
    <w:rsid w:val="005862F9"/>
    <w:rsid w:val="005867AE"/>
    <w:rsid w:val="00586A6E"/>
    <w:rsid w:val="00587EE0"/>
    <w:rsid w:val="00590CBE"/>
    <w:rsid w:val="00591070"/>
    <w:rsid w:val="00591ADA"/>
    <w:rsid w:val="00594704"/>
    <w:rsid w:val="00594978"/>
    <w:rsid w:val="00594EFF"/>
    <w:rsid w:val="0059543C"/>
    <w:rsid w:val="00596664"/>
    <w:rsid w:val="00597FD4"/>
    <w:rsid w:val="005A1713"/>
    <w:rsid w:val="005A1A36"/>
    <w:rsid w:val="005A1B0A"/>
    <w:rsid w:val="005A1D3F"/>
    <w:rsid w:val="005A1FAA"/>
    <w:rsid w:val="005A30EB"/>
    <w:rsid w:val="005A365F"/>
    <w:rsid w:val="005A3ADD"/>
    <w:rsid w:val="005A5BB5"/>
    <w:rsid w:val="005A5DD5"/>
    <w:rsid w:val="005A6500"/>
    <w:rsid w:val="005A6820"/>
    <w:rsid w:val="005A7CE5"/>
    <w:rsid w:val="005B0A3B"/>
    <w:rsid w:val="005B14FD"/>
    <w:rsid w:val="005B1604"/>
    <w:rsid w:val="005B21CB"/>
    <w:rsid w:val="005B26BF"/>
    <w:rsid w:val="005B2B9A"/>
    <w:rsid w:val="005B336A"/>
    <w:rsid w:val="005B33E8"/>
    <w:rsid w:val="005B3BC9"/>
    <w:rsid w:val="005B3D4D"/>
    <w:rsid w:val="005B685E"/>
    <w:rsid w:val="005B6963"/>
    <w:rsid w:val="005B7F51"/>
    <w:rsid w:val="005C0117"/>
    <w:rsid w:val="005C04D7"/>
    <w:rsid w:val="005C6417"/>
    <w:rsid w:val="005C7568"/>
    <w:rsid w:val="005D2499"/>
    <w:rsid w:val="005D46EA"/>
    <w:rsid w:val="005D4FAA"/>
    <w:rsid w:val="005D566E"/>
    <w:rsid w:val="005E0302"/>
    <w:rsid w:val="005E0886"/>
    <w:rsid w:val="005E243B"/>
    <w:rsid w:val="005E3253"/>
    <w:rsid w:val="005E368E"/>
    <w:rsid w:val="005E3881"/>
    <w:rsid w:val="005E3A20"/>
    <w:rsid w:val="005E4EAB"/>
    <w:rsid w:val="005E5788"/>
    <w:rsid w:val="005E5E8B"/>
    <w:rsid w:val="005E73DF"/>
    <w:rsid w:val="005E7678"/>
    <w:rsid w:val="005E77ED"/>
    <w:rsid w:val="005F36F0"/>
    <w:rsid w:val="005F4DFE"/>
    <w:rsid w:val="005F665A"/>
    <w:rsid w:val="005F66C8"/>
    <w:rsid w:val="005F6B69"/>
    <w:rsid w:val="005F6E87"/>
    <w:rsid w:val="005F7CD3"/>
    <w:rsid w:val="005F7CDC"/>
    <w:rsid w:val="00601843"/>
    <w:rsid w:val="0060267D"/>
    <w:rsid w:val="00603941"/>
    <w:rsid w:val="00603A4A"/>
    <w:rsid w:val="00604600"/>
    <w:rsid w:val="00605731"/>
    <w:rsid w:val="00605D18"/>
    <w:rsid w:val="006065CD"/>
    <w:rsid w:val="0060733E"/>
    <w:rsid w:val="0060746E"/>
    <w:rsid w:val="00607800"/>
    <w:rsid w:val="00607A7E"/>
    <w:rsid w:val="0061122C"/>
    <w:rsid w:val="0061137F"/>
    <w:rsid w:val="0061279E"/>
    <w:rsid w:val="00612904"/>
    <w:rsid w:val="00612C03"/>
    <w:rsid w:val="00614034"/>
    <w:rsid w:val="00614057"/>
    <w:rsid w:val="006146AA"/>
    <w:rsid w:val="00614D50"/>
    <w:rsid w:val="00615240"/>
    <w:rsid w:val="00617459"/>
    <w:rsid w:val="00620628"/>
    <w:rsid w:val="00620942"/>
    <w:rsid w:val="006214DA"/>
    <w:rsid w:val="006221C0"/>
    <w:rsid w:val="00622294"/>
    <w:rsid w:val="0062411A"/>
    <w:rsid w:val="006246C9"/>
    <w:rsid w:val="0062475A"/>
    <w:rsid w:val="006259BB"/>
    <w:rsid w:val="00626322"/>
    <w:rsid w:val="006268F3"/>
    <w:rsid w:val="00626ABB"/>
    <w:rsid w:val="006276AC"/>
    <w:rsid w:val="006304DE"/>
    <w:rsid w:val="00630676"/>
    <w:rsid w:val="006308E8"/>
    <w:rsid w:val="00630A8A"/>
    <w:rsid w:val="00630FE5"/>
    <w:rsid w:val="0063276D"/>
    <w:rsid w:val="00632EAA"/>
    <w:rsid w:val="00634070"/>
    <w:rsid w:val="00634756"/>
    <w:rsid w:val="0063675E"/>
    <w:rsid w:val="00636DBE"/>
    <w:rsid w:val="00637ABC"/>
    <w:rsid w:val="00640BE3"/>
    <w:rsid w:val="006423D9"/>
    <w:rsid w:val="00642548"/>
    <w:rsid w:val="00642907"/>
    <w:rsid w:val="00642FD9"/>
    <w:rsid w:val="00643A42"/>
    <w:rsid w:val="00644819"/>
    <w:rsid w:val="00644A7E"/>
    <w:rsid w:val="006457E1"/>
    <w:rsid w:val="0064584B"/>
    <w:rsid w:val="00645C55"/>
    <w:rsid w:val="00645D15"/>
    <w:rsid w:val="00645DBD"/>
    <w:rsid w:val="006501EE"/>
    <w:rsid w:val="0065022E"/>
    <w:rsid w:val="00650944"/>
    <w:rsid w:val="0065216A"/>
    <w:rsid w:val="00652A4F"/>
    <w:rsid w:val="00653E9B"/>
    <w:rsid w:val="0065478C"/>
    <w:rsid w:val="00655260"/>
    <w:rsid w:val="006553A2"/>
    <w:rsid w:val="00656486"/>
    <w:rsid w:val="00660339"/>
    <w:rsid w:val="00660A4C"/>
    <w:rsid w:val="00662C6F"/>
    <w:rsid w:val="00663451"/>
    <w:rsid w:val="0066396D"/>
    <w:rsid w:val="00665757"/>
    <w:rsid w:val="00666F8E"/>
    <w:rsid w:val="00670279"/>
    <w:rsid w:val="006707A1"/>
    <w:rsid w:val="00671ADF"/>
    <w:rsid w:val="00671C09"/>
    <w:rsid w:val="006725C1"/>
    <w:rsid w:val="006728FE"/>
    <w:rsid w:val="00672F9F"/>
    <w:rsid w:val="00673D83"/>
    <w:rsid w:val="00674865"/>
    <w:rsid w:val="006751A5"/>
    <w:rsid w:val="00675412"/>
    <w:rsid w:val="006765E9"/>
    <w:rsid w:val="00676B7D"/>
    <w:rsid w:val="00676C52"/>
    <w:rsid w:val="00676CDC"/>
    <w:rsid w:val="0067732F"/>
    <w:rsid w:val="00677367"/>
    <w:rsid w:val="00680351"/>
    <w:rsid w:val="006805D5"/>
    <w:rsid w:val="00681486"/>
    <w:rsid w:val="00681783"/>
    <w:rsid w:val="00682B47"/>
    <w:rsid w:val="00682B87"/>
    <w:rsid w:val="00682DA4"/>
    <w:rsid w:val="00683E1A"/>
    <w:rsid w:val="006853BD"/>
    <w:rsid w:val="00685B2F"/>
    <w:rsid w:val="0068688D"/>
    <w:rsid w:val="00686E49"/>
    <w:rsid w:val="00687C5A"/>
    <w:rsid w:val="00690174"/>
    <w:rsid w:val="00690588"/>
    <w:rsid w:val="0069110E"/>
    <w:rsid w:val="00692029"/>
    <w:rsid w:val="00693354"/>
    <w:rsid w:val="0069353B"/>
    <w:rsid w:val="006936D5"/>
    <w:rsid w:val="00693AAB"/>
    <w:rsid w:val="00693B45"/>
    <w:rsid w:val="00694CCE"/>
    <w:rsid w:val="0069536D"/>
    <w:rsid w:val="00695883"/>
    <w:rsid w:val="0069605C"/>
    <w:rsid w:val="00696B95"/>
    <w:rsid w:val="00697748"/>
    <w:rsid w:val="00697925"/>
    <w:rsid w:val="00697F17"/>
    <w:rsid w:val="006A26ED"/>
    <w:rsid w:val="006A288A"/>
    <w:rsid w:val="006A2991"/>
    <w:rsid w:val="006A389B"/>
    <w:rsid w:val="006A39F1"/>
    <w:rsid w:val="006A45A7"/>
    <w:rsid w:val="006A476A"/>
    <w:rsid w:val="006A49D8"/>
    <w:rsid w:val="006A5421"/>
    <w:rsid w:val="006A559E"/>
    <w:rsid w:val="006A64A1"/>
    <w:rsid w:val="006A6BA0"/>
    <w:rsid w:val="006B0B94"/>
    <w:rsid w:val="006B0BB7"/>
    <w:rsid w:val="006B19D3"/>
    <w:rsid w:val="006B1A82"/>
    <w:rsid w:val="006B1BD4"/>
    <w:rsid w:val="006B203F"/>
    <w:rsid w:val="006B257F"/>
    <w:rsid w:val="006B313B"/>
    <w:rsid w:val="006B49EC"/>
    <w:rsid w:val="006B4E7B"/>
    <w:rsid w:val="006B5D1B"/>
    <w:rsid w:val="006B5FD8"/>
    <w:rsid w:val="006B61E7"/>
    <w:rsid w:val="006B76F2"/>
    <w:rsid w:val="006B77EE"/>
    <w:rsid w:val="006B7918"/>
    <w:rsid w:val="006C09CB"/>
    <w:rsid w:val="006C139C"/>
    <w:rsid w:val="006C1614"/>
    <w:rsid w:val="006C3F55"/>
    <w:rsid w:val="006C4E9E"/>
    <w:rsid w:val="006C598B"/>
    <w:rsid w:val="006C613E"/>
    <w:rsid w:val="006C64AA"/>
    <w:rsid w:val="006C6659"/>
    <w:rsid w:val="006C6BF8"/>
    <w:rsid w:val="006C751A"/>
    <w:rsid w:val="006C7BDE"/>
    <w:rsid w:val="006D0305"/>
    <w:rsid w:val="006D0AEC"/>
    <w:rsid w:val="006D188E"/>
    <w:rsid w:val="006D2ACD"/>
    <w:rsid w:val="006D2B74"/>
    <w:rsid w:val="006D5356"/>
    <w:rsid w:val="006D58CE"/>
    <w:rsid w:val="006D68F1"/>
    <w:rsid w:val="006D7065"/>
    <w:rsid w:val="006E2E53"/>
    <w:rsid w:val="006E31D9"/>
    <w:rsid w:val="006E57D3"/>
    <w:rsid w:val="006E5B89"/>
    <w:rsid w:val="006E5CEC"/>
    <w:rsid w:val="006E64E2"/>
    <w:rsid w:val="006E7A68"/>
    <w:rsid w:val="006E7D6C"/>
    <w:rsid w:val="006F086B"/>
    <w:rsid w:val="006F103D"/>
    <w:rsid w:val="006F161D"/>
    <w:rsid w:val="006F1B13"/>
    <w:rsid w:val="006F31B9"/>
    <w:rsid w:val="006F4F52"/>
    <w:rsid w:val="006F5310"/>
    <w:rsid w:val="006F5843"/>
    <w:rsid w:val="006F6C83"/>
    <w:rsid w:val="006F783B"/>
    <w:rsid w:val="006F7BE3"/>
    <w:rsid w:val="0070113E"/>
    <w:rsid w:val="0070150F"/>
    <w:rsid w:val="00701DDD"/>
    <w:rsid w:val="007026D3"/>
    <w:rsid w:val="0070283B"/>
    <w:rsid w:val="00702DF3"/>
    <w:rsid w:val="00703052"/>
    <w:rsid w:val="00703ABB"/>
    <w:rsid w:val="00704642"/>
    <w:rsid w:val="007049B7"/>
    <w:rsid w:val="0070562F"/>
    <w:rsid w:val="007060AB"/>
    <w:rsid w:val="007066F4"/>
    <w:rsid w:val="00706749"/>
    <w:rsid w:val="007068C8"/>
    <w:rsid w:val="0070719A"/>
    <w:rsid w:val="007076B3"/>
    <w:rsid w:val="00707F3F"/>
    <w:rsid w:val="00710372"/>
    <w:rsid w:val="00710B2F"/>
    <w:rsid w:val="00710F02"/>
    <w:rsid w:val="007116B2"/>
    <w:rsid w:val="00711992"/>
    <w:rsid w:val="0071273C"/>
    <w:rsid w:val="00715717"/>
    <w:rsid w:val="00716A2C"/>
    <w:rsid w:val="00717026"/>
    <w:rsid w:val="00717C7B"/>
    <w:rsid w:val="00717DAD"/>
    <w:rsid w:val="007205E8"/>
    <w:rsid w:val="00720E51"/>
    <w:rsid w:val="007214B7"/>
    <w:rsid w:val="00723162"/>
    <w:rsid w:val="007233A8"/>
    <w:rsid w:val="00724FE4"/>
    <w:rsid w:val="00725D1A"/>
    <w:rsid w:val="00730E88"/>
    <w:rsid w:val="007323CD"/>
    <w:rsid w:val="00733B24"/>
    <w:rsid w:val="007340EE"/>
    <w:rsid w:val="00734C38"/>
    <w:rsid w:val="00734C7D"/>
    <w:rsid w:val="007365F0"/>
    <w:rsid w:val="00736A6E"/>
    <w:rsid w:val="00737D18"/>
    <w:rsid w:val="007424C3"/>
    <w:rsid w:val="00742CA2"/>
    <w:rsid w:val="00742DE8"/>
    <w:rsid w:val="00742E73"/>
    <w:rsid w:val="00743D96"/>
    <w:rsid w:val="007444E6"/>
    <w:rsid w:val="007469DD"/>
    <w:rsid w:val="00746F03"/>
    <w:rsid w:val="00751FB3"/>
    <w:rsid w:val="0075261C"/>
    <w:rsid w:val="007528F3"/>
    <w:rsid w:val="00753018"/>
    <w:rsid w:val="00753E76"/>
    <w:rsid w:val="007544EA"/>
    <w:rsid w:val="007548A8"/>
    <w:rsid w:val="00754B0A"/>
    <w:rsid w:val="00754BE8"/>
    <w:rsid w:val="00754D34"/>
    <w:rsid w:val="00755002"/>
    <w:rsid w:val="0075573A"/>
    <w:rsid w:val="007574C4"/>
    <w:rsid w:val="00757660"/>
    <w:rsid w:val="00757754"/>
    <w:rsid w:val="007607D7"/>
    <w:rsid w:val="007608DE"/>
    <w:rsid w:val="0076121E"/>
    <w:rsid w:val="00761F10"/>
    <w:rsid w:val="00762457"/>
    <w:rsid w:val="00763AE2"/>
    <w:rsid w:val="007643D9"/>
    <w:rsid w:val="00765C23"/>
    <w:rsid w:val="007662FC"/>
    <w:rsid w:val="00766326"/>
    <w:rsid w:val="00766511"/>
    <w:rsid w:val="00766CC0"/>
    <w:rsid w:val="00770327"/>
    <w:rsid w:val="0077161C"/>
    <w:rsid w:val="007720E1"/>
    <w:rsid w:val="00772677"/>
    <w:rsid w:val="00772D3E"/>
    <w:rsid w:val="007733D0"/>
    <w:rsid w:val="0077356F"/>
    <w:rsid w:val="007744E8"/>
    <w:rsid w:val="00775069"/>
    <w:rsid w:val="007754DF"/>
    <w:rsid w:val="00775979"/>
    <w:rsid w:val="007764BA"/>
    <w:rsid w:val="00776E2F"/>
    <w:rsid w:val="00780696"/>
    <w:rsid w:val="007807A9"/>
    <w:rsid w:val="007809AF"/>
    <w:rsid w:val="00780D4D"/>
    <w:rsid w:val="00781158"/>
    <w:rsid w:val="00781446"/>
    <w:rsid w:val="007828F3"/>
    <w:rsid w:val="00783809"/>
    <w:rsid w:val="00783DE6"/>
    <w:rsid w:val="0079006D"/>
    <w:rsid w:val="0079022D"/>
    <w:rsid w:val="00790CEB"/>
    <w:rsid w:val="0079106D"/>
    <w:rsid w:val="00791612"/>
    <w:rsid w:val="00791C24"/>
    <w:rsid w:val="0079256D"/>
    <w:rsid w:val="00793177"/>
    <w:rsid w:val="0079326E"/>
    <w:rsid w:val="007935A5"/>
    <w:rsid w:val="00794408"/>
    <w:rsid w:val="00794CBE"/>
    <w:rsid w:val="00795A0C"/>
    <w:rsid w:val="00797428"/>
    <w:rsid w:val="00797622"/>
    <w:rsid w:val="007977FD"/>
    <w:rsid w:val="007979C7"/>
    <w:rsid w:val="00797D46"/>
    <w:rsid w:val="00797ECF"/>
    <w:rsid w:val="007A2179"/>
    <w:rsid w:val="007A25FA"/>
    <w:rsid w:val="007A2B0B"/>
    <w:rsid w:val="007A2B84"/>
    <w:rsid w:val="007A37F7"/>
    <w:rsid w:val="007A550B"/>
    <w:rsid w:val="007A55CC"/>
    <w:rsid w:val="007A5E95"/>
    <w:rsid w:val="007A60F5"/>
    <w:rsid w:val="007A793E"/>
    <w:rsid w:val="007A7EE8"/>
    <w:rsid w:val="007A7EF6"/>
    <w:rsid w:val="007B04D6"/>
    <w:rsid w:val="007B15E1"/>
    <w:rsid w:val="007B1E0D"/>
    <w:rsid w:val="007B3263"/>
    <w:rsid w:val="007B4141"/>
    <w:rsid w:val="007B41B2"/>
    <w:rsid w:val="007B56EE"/>
    <w:rsid w:val="007B5C3C"/>
    <w:rsid w:val="007B727B"/>
    <w:rsid w:val="007B744D"/>
    <w:rsid w:val="007B7954"/>
    <w:rsid w:val="007B7B8F"/>
    <w:rsid w:val="007B7D3C"/>
    <w:rsid w:val="007C0473"/>
    <w:rsid w:val="007C0D92"/>
    <w:rsid w:val="007C1BAB"/>
    <w:rsid w:val="007C25F3"/>
    <w:rsid w:val="007C37C5"/>
    <w:rsid w:val="007C43F6"/>
    <w:rsid w:val="007C620E"/>
    <w:rsid w:val="007C6E4E"/>
    <w:rsid w:val="007D02E4"/>
    <w:rsid w:val="007D0FDE"/>
    <w:rsid w:val="007D157B"/>
    <w:rsid w:val="007D1E0C"/>
    <w:rsid w:val="007D1FD9"/>
    <w:rsid w:val="007D24D1"/>
    <w:rsid w:val="007D27C1"/>
    <w:rsid w:val="007D294D"/>
    <w:rsid w:val="007D4746"/>
    <w:rsid w:val="007D52D0"/>
    <w:rsid w:val="007D5F61"/>
    <w:rsid w:val="007D6625"/>
    <w:rsid w:val="007D7D7A"/>
    <w:rsid w:val="007E008D"/>
    <w:rsid w:val="007E0128"/>
    <w:rsid w:val="007E07AB"/>
    <w:rsid w:val="007E1406"/>
    <w:rsid w:val="007E19E6"/>
    <w:rsid w:val="007E24B1"/>
    <w:rsid w:val="007E2CD0"/>
    <w:rsid w:val="007E4034"/>
    <w:rsid w:val="007E414C"/>
    <w:rsid w:val="007E523C"/>
    <w:rsid w:val="007E5D77"/>
    <w:rsid w:val="007E5E42"/>
    <w:rsid w:val="007E6CF6"/>
    <w:rsid w:val="007E7882"/>
    <w:rsid w:val="007E7943"/>
    <w:rsid w:val="007F078C"/>
    <w:rsid w:val="007F0FD1"/>
    <w:rsid w:val="007F23FE"/>
    <w:rsid w:val="007F30CD"/>
    <w:rsid w:val="007F31B8"/>
    <w:rsid w:val="007F3608"/>
    <w:rsid w:val="007F4289"/>
    <w:rsid w:val="007F4FB1"/>
    <w:rsid w:val="007F5105"/>
    <w:rsid w:val="007F5115"/>
    <w:rsid w:val="007F5EAD"/>
    <w:rsid w:val="007F6CCD"/>
    <w:rsid w:val="007F6DE0"/>
    <w:rsid w:val="007F7674"/>
    <w:rsid w:val="007F7D36"/>
    <w:rsid w:val="00800693"/>
    <w:rsid w:val="008007BB"/>
    <w:rsid w:val="00800B51"/>
    <w:rsid w:val="00802366"/>
    <w:rsid w:val="00803359"/>
    <w:rsid w:val="00803587"/>
    <w:rsid w:val="00803A8E"/>
    <w:rsid w:val="008043AF"/>
    <w:rsid w:val="008043D7"/>
    <w:rsid w:val="0080521F"/>
    <w:rsid w:val="00805810"/>
    <w:rsid w:val="00805C01"/>
    <w:rsid w:val="00806006"/>
    <w:rsid w:val="00806070"/>
    <w:rsid w:val="0080662B"/>
    <w:rsid w:val="00806C33"/>
    <w:rsid w:val="00807368"/>
    <w:rsid w:val="008118FC"/>
    <w:rsid w:val="00811998"/>
    <w:rsid w:val="00811BD3"/>
    <w:rsid w:val="00814B48"/>
    <w:rsid w:val="00815001"/>
    <w:rsid w:val="00815481"/>
    <w:rsid w:val="00815B6D"/>
    <w:rsid w:val="008160EB"/>
    <w:rsid w:val="00820C60"/>
    <w:rsid w:val="00820EBC"/>
    <w:rsid w:val="0082117A"/>
    <w:rsid w:val="00821B48"/>
    <w:rsid w:val="00822D80"/>
    <w:rsid w:val="00822F6F"/>
    <w:rsid w:val="00823448"/>
    <w:rsid w:val="008236E7"/>
    <w:rsid w:val="0082609A"/>
    <w:rsid w:val="0082744B"/>
    <w:rsid w:val="00827D32"/>
    <w:rsid w:val="00830734"/>
    <w:rsid w:val="00831B03"/>
    <w:rsid w:val="00831E6A"/>
    <w:rsid w:val="00831F4D"/>
    <w:rsid w:val="00833000"/>
    <w:rsid w:val="008338CD"/>
    <w:rsid w:val="0083487D"/>
    <w:rsid w:val="00834B4C"/>
    <w:rsid w:val="00834E29"/>
    <w:rsid w:val="008350DF"/>
    <w:rsid w:val="00835B02"/>
    <w:rsid w:val="00835C2A"/>
    <w:rsid w:val="00835EC1"/>
    <w:rsid w:val="00836122"/>
    <w:rsid w:val="00837BA5"/>
    <w:rsid w:val="00841641"/>
    <w:rsid w:val="008422BB"/>
    <w:rsid w:val="008422E8"/>
    <w:rsid w:val="008433D2"/>
    <w:rsid w:val="00845A6F"/>
    <w:rsid w:val="008476FE"/>
    <w:rsid w:val="008500E9"/>
    <w:rsid w:val="00850279"/>
    <w:rsid w:val="00850D35"/>
    <w:rsid w:val="0085244A"/>
    <w:rsid w:val="00852797"/>
    <w:rsid w:val="00852D8F"/>
    <w:rsid w:val="00853C57"/>
    <w:rsid w:val="00853DA9"/>
    <w:rsid w:val="00854EE3"/>
    <w:rsid w:val="00855D78"/>
    <w:rsid w:val="0085793B"/>
    <w:rsid w:val="00857E4A"/>
    <w:rsid w:val="008603D1"/>
    <w:rsid w:val="008606BD"/>
    <w:rsid w:val="008625D6"/>
    <w:rsid w:val="00862F82"/>
    <w:rsid w:val="008635F0"/>
    <w:rsid w:val="00863EA7"/>
    <w:rsid w:val="00864409"/>
    <w:rsid w:val="0086443E"/>
    <w:rsid w:val="00864A9D"/>
    <w:rsid w:val="008650C0"/>
    <w:rsid w:val="0086514D"/>
    <w:rsid w:val="008656DC"/>
    <w:rsid w:val="008661C0"/>
    <w:rsid w:val="00866DF1"/>
    <w:rsid w:val="00867075"/>
    <w:rsid w:val="008677D7"/>
    <w:rsid w:val="0087027E"/>
    <w:rsid w:val="00871515"/>
    <w:rsid w:val="008731AA"/>
    <w:rsid w:val="00874AD5"/>
    <w:rsid w:val="00874EAB"/>
    <w:rsid w:val="008753FE"/>
    <w:rsid w:val="0087647C"/>
    <w:rsid w:val="0088077B"/>
    <w:rsid w:val="008819FF"/>
    <w:rsid w:val="00881A4C"/>
    <w:rsid w:val="00881F4A"/>
    <w:rsid w:val="008820C4"/>
    <w:rsid w:val="008824AD"/>
    <w:rsid w:val="0088339E"/>
    <w:rsid w:val="0088377D"/>
    <w:rsid w:val="00883B72"/>
    <w:rsid w:val="0088426D"/>
    <w:rsid w:val="008854E9"/>
    <w:rsid w:val="00886133"/>
    <w:rsid w:val="0088715C"/>
    <w:rsid w:val="00887E62"/>
    <w:rsid w:val="00891168"/>
    <w:rsid w:val="0089250D"/>
    <w:rsid w:val="008939D0"/>
    <w:rsid w:val="008945C5"/>
    <w:rsid w:val="008949EB"/>
    <w:rsid w:val="00894CEE"/>
    <w:rsid w:val="00894E16"/>
    <w:rsid w:val="00897163"/>
    <w:rsid w:val="0089724A"/>
    <w:rsid w:val="008972A9"/>
    <w:rsid w:val="008974EA"/>
    <w:rsid w:val="008A0307"/>
    <w:rsid w:val="008A0374"/>
    <w:rsid w:val="008A0A6F"/>
    <w:rsid w:val="008A0E2E"/>
    <w:rsid w:val="008A0EF3"/>
    <w:rsid w:val="008A2EEA"/>
    <w:rsid w:val="008A3CBA"/>
    <w:rsid w:val="008A4603"/>
    <w:rsid w:val="008A4BC3"/>
    <w:rsid w:val="008A6C40"/>
    <w:rsid w:val="008A6D5C"/>
    <w:rsid w:val="008A6EFF"/>
    <w:rsid w:val="008A7DF8"/>
    <w:rsid w:val="008B0559"/>
    <w:rsid w:val="008B0825"/>
    <w:rsid w:val="008B0A3D"/>
    <w:rsid w:val="008B10DC"/>
    <w:rsid w:val="008B111B"/>
    <w:rsid w:val="008B145D"/>
    <w:rsid w:val="008B21F5"/>
    <w:rsid w:val="008B245B"/>
    <w:rsid w:val="008B27DF"/>
    <w:rsid w:val="008B404A"/>
    <w:rsid w:val="008B4C58"/>
    <w:rsid w:val="008B5313"/>
    <w:rsid w:val="008B591F"/>
    <w:rsid w:val="008B6FD0"/>
    <w:rsid w:val="008B710E"/>
    <w:rsid w:val="008B7446"/>
    <w:rsid w:val="008C1109"/>
    <w:rsid w:val="008C33D9"/>
    <w:rsid w:val="008C3604"/>
    <w:rsid w:val="008C3946"/>
    <w:rsid w:val="008C43C2"/>
    <w:rsid w:val="008C45C4"/>
    <w:rsid w:val="008C69A4"/>
    <w:rsid w:val="008D0F6F"/>
    <w:rsid w:val="008D1209"/>
    <w:rsid w:val="008D304D"/>
    <w:rsid w:val="008D4799"/>
    <w:rsid w:val="008D4B0B"/>
    <w:rsid w:val="008D4E19"/>
    <w:rsid w:val="008D588A"/>
    <w:rsid w:val="008D5990"/>
    <w:rsid w:val="008D692A"/>
    <w:rsid w:val="008D6A61"/>
    <w:rsid w:val="008D6C3E"/>
    <w:rsid w:val="008D711D"/>
    <w:rsid w:val="008D7717"/>
    <w:rsid w:val="008E02F1"/>
    <w:rsid w:val="008E0923"/>
    <w:rsid w:val="008E0AEA"/>
    <w:rsid w:val="008E1EAD"/>
    <w:rsid w:val="008E2933"/>
    <w:rsid w:val="008E2D35"/>
    <w:rsid w:val="008E30B5"/>
    <w:rsid w:val="008E3FF3"/>
    <w:rsid w:val="008E4993"/>
    <w:rsid w:val="008E4E32"/>
    <w:rsid w:val="008E4F59"/>
    <w:rsid w:val="008E59A2"/>
    <w:rsid w:val="008E59EC"/>
    <w:rsid w:val="008E5AC3"/>
    <w:rsid w:val="008E6960"/>
    <w:rsid w:val="008E6AA2"/>
    <w:rsid w:val="008E7A60"/>
    <w:rsid w:val="008F1013"/>
    <w:rsid w:val="008F1EDA"/>
    <w:rsid w:val="008F34AB"/>
    <w:rsid w:val="008F3E68"/>
    <w:rsid w:val="008F4C3B"/>
    <w:rsid w:val="008F5F69"/>
    <w:rsid w:val="008F61CD"/>
    <w:rsid w:val="008F6825"/>
    <w:rsid w:val="00900A58"/>
    <w:rsid w:val="00901601"/>
    <w:rsid w:val="0090275B"/>
    <w:rsid w:val="00903B1F"/>
    <w:rsid w:val="00903B87"/>
    <w:rsid w:val="009045A9"/>
    <w:rsid w:val="0090475A"/>
    <w:rsid w:val="00904B14"/>
    <w:rsid w:val="00904BF3"/>
    <w:rsid w:val="00904C74"/>
    <w:rsid w:val="00906BDA"/>
    <w:rsid w:val="009074D0"/>
    <w:rsid w:val="009102FA"/>
    <w:rsid w:val="00910D2C"/>
    <w:rsid w:val="0091119B"/>
    <w:rsid w:val="00911397"/>
    <w:rsid w:val="00911DD0"/>
    <w:rsid w:val="00912783"/>
    <w:rsid w:val="00913DA3"/>
    <w:rsid w:val="00913F6F"/>
    <w:rsid w:val="00914820"/>
    <w:rsid w:val="00914873"/>
    <w:rsid w:val="00914988"/>
    <w:rsid w:val="00914EB6"/>
    <w:rsid w:val="00915498"/>
    <w:rsid w:val="00916AB9"/>
    <w:rsid w:val="00920C78"/>
    <w:rsid w:val="00920EA3"/>
    <w:rsid w:val="00921249"/>
    <w:rsid w:val="009217A7"/>
    <w:rsid w:val="00921E73"/>
    <w:rsid w:val="00922D30"/>
    <w:rsid w:val="0092570D"/>
    <w:rsid w:val="00926193"/>
    <w:rsid w:val="009269E0"/>
    <w:rsid w:val="00927B9B"/>
    <w:rsid w:val="009306A2"/>
    <w:rsid w:val="00931A4B"/>
    <w:rsid w:val="00931D67"/>
    <w:rsid w:val="00932038"/>
    <w:rsid w:val="00932533"/>
    <w:rsid w:val="00933066"/>
    <w:rsid w:val="00933449"/>
    <w:rsid w:val="009340BE"/>
    <w:rsid w:val="00934D31"/>
    <w:rsid w:val="009367B5"/>
    <w:rsid w:val="00936BF7"/>
    <w:rsid w:val="00937309"/>
    <w:rsid w:val="0093745D"/>
    <w:rsid w:val="00941C5A"/>
    <w:rsid w:val="009420EF"/>
    <w:rsid w:val="00943896"/>
    <w:rsid w:val="009448A7"/>
    <w:rsid w:val="00944CAB"/>
    <w:rsid w:val="009454A0"/>
    <w:rsid w:val="00945C34"/>
    <w:rsid w:val="00945C75"/>
    <w:rsid w:val="00945DE2"/>
    <w:rsid w:val="009466A0"/>
    <w:rsid w:val="00946A9A"/>
    <w:rsid w:val="00950965"/>
    <w:rsid w:val="00951433"/>
    <w:rsid w:val="00952765"/>
    <w:rsid w:val="009529F5"/>
    <w:rsid w:val="009554C0"/>
    <w:rsid w:val="009567A0"/>
    <w:rsid w:val="00956934"/>
    <w:rsid w:val="00960241"/>
    <w:rsid w:val="009608AF"/>
    <w:rsid w:val="0096380E"/>
    <w:rsid w:val="00964EEA"/>
    <w:rsid w:val="009651B1"/>
    <w:rsid w:val="00965924"/>
    <w:rsid w:val="009661C7"/>
    <w:rsid w:val="00966305"/>
    <w:rsid w:val="0096658C"/>
    <w:rsid w:val="00967268"/>
    <w:rsid w:val="0096743A"/>
    <w:rsid w:val="0097205F"/>
    <w:rsid w:val="0097259C"/>
    <w:rsid w:val="00972808"/>
    <w:rsid w:val="009731CC"/>
    <w:rsid w:val="009747B8"/>
    <w:rsid w:val="00975CDF"/>
    <w:rsid w:val="009767A2"/>
    <w:rsid w:val="00980293"/>
    <w:rsid w:val="00980E7B"/>
    <w:rsid w:val="00981742"/>
    <w:rsid w:val="0098177B"/>
    <w:rsid w:val="00981F2B"/>
    <w:rsid w:val="009826A9"/>
    <w:rsid w:val="00982ADE"/>
    <w:rsid w:val="00982EA9"/>
    <w:rsid w:val="009830F6"/>
    <w:rsid w:val="00983CC1"/>
    <w:rsid w:val="00984DA0"/>
    <w:rsid w:val="00985066"/>
    <w:rsid w:val="00985140"/>
    <w:rsid w:val="00986E28"/>
    <w:rsid w:val="00990011"/>
    <w:rsid w:val="009904EA"/>
    <w:rsid w:val="00990986"/>
    <w:rsid w:val="00990ED2"/>
    <w:rsid w:val="0099150C"/>
    <w:rsid w:val="00991BBB"/>
    <w:rsid w:val="00992762"/>
    <w:rsid w:val="00992A12"/>
    <w:rsid w:val="009931FA"/>
    <w:rsid w:val="00993245"/>
    <w:rsid w:val="00994B69"/>
    <w:rsid w:val="009951ED"/>
    <w:rsid w:val="0099622A"/>
    <w:rsid w:val="00997AA0"/>
    <w:rsid w:val="00997B73"/>
    <w:rsid w:val="00997F98"/>
    <w:rsid w:val="009A0355"/>
    <w:rsid w:val="009A03B9"/>
    <w:rsid w:val="009A074D"/>
    <w:rsid w:val="009A0F2F"/>
    <w:rsid w:val="009A1543"/>
    <w:rsid w:val="009A1C12"/>
    <w:rsid w:val="009A1D02"/>
    <w:rsid w:val="009A2706"/>
    <w:rsid w:val="009A294C"/>
    <w:rsid w:val="009A2F21"/>
    <w:rsid w:val="009A3C16"/>
    <w:rsid w:val="009A4281"/>
    <w:rsid w:val="009A5290"/>
    <w:rsid w:val="009A5307"/>
    <w:rsid w:val="009A67B7"/>
    <w:rsid w:val="009A6C73"/>
    <w:rsid w:val="009A6CC5"/>
    <w:rsid w:val="009B12AF"/>
    <w:rsid w:val="009B1CFE"/>
    <w:rsid w:val="009B3564"/>
    <w:rsid w:val="009B44AA"/>
    <w:rsid w:val="009B5C64"/>
    <w:rsid w:val="009B5EC4"/>
    <w:rsid w:val="009B607D"/>
    <w:rsid w:val="009B668C"/>
    <w:rsid w:val="009B704E"/>
    <w:rsid w:val="009B78C8"/>
    <w:rsid w:val="009B799A"/>
    <w:rsid w:val="009C1ED8"/>
    <w:rsid w:val="009C233A"/>
    <w:rsid w:val="009C332B"/>
    <w:rsid w:val="009C3EA5"/>
    <w:rsid w:val="009C4139"/>
    <w:rsid w:val="009C5848"/>
    <w:rsid w:val="009C60A0"/>
    <w:rsid w:val="009C6464"/>
    <w:rsid w:val="009C64AA"/>
    <w:rsid w:val="009D0D40"/>
    <w:rsid w:val="009D1CC7"/>
    <w:rsid w:val="009D2000"/>
    <w:rsid w:val="009D2706"/>
    <w:rsid w:val="009D2BE4"/>
    <w:rsid w:val="009D4882"/>
    <w:rsid w:val="009D4FFE"/>
    <w:rsid w:val="009D5328"/>
    <w:rsid w:val="009D621D"/>
    <w:rsid w:val="009D6BAE"/>
    <w:rsid w:val="009D7709"/>
    <w:rsid w:val="009D7B49"/>
    <w:rsid w:val="009E0115"/>
    <w:rsid w:val="009E0C72"/>
    <w:rsid w:val="009E158B"/>
    <w:rsid w:val="009E256A"/>
    <w:rsid w:val="009E2BD7"/>
    <w:rsid w:val="009E3D7C"/>
    <w:rsid w:val="009E49CA"/>
    <w:rsid w:val="009E5751"/>
    <w:rsid w:val="009E5C3D"/>
    <w:rsid w:val="009E7243"/>
    <w:rsid w:val="009F06F0"/>
    <w:rsid w:val="009F308D"/>
    <w:rsid w:val="009F3199"/>
    <w:rsid w:val="009F321D"/>
    <w:rsid w:val="009F3EEB"/>
    <w:rsid w:val="009F4509"/>
    <w:rsid w:val="009F5E81"/>
    <w:rsid w:val="009F7D83"/>
    <w:rsid w:val="009F7DB3"/>
    <w:rsid w:val="009F7F73"/>
    <w:rsid w:val="00A016E0"/>
    <w:rsid w:val="00A023CB"/>
    <w:rsid w:val="00A024F6"/>
    <w:rsid w:val="00A02747"/>
    <w:rsid w:val="00A02D55"/>
    <w:rsid w:val="00A04BCE"/>
    <w:rsid w:val="00A04E7B"/>
    <w:rsid w:val="00A05BF7"/>
    <w:rsid w:val="00A0652E"/>
    <w:rsid w:val="00A06926"/>
    <w:rsid w:val="00A06EC0"/>
    <w:rsid w:val="00A07E09"/>
    <w:rsid w:val="00A1062C"/>
    <w:rsid w:val="00A108FB"/>
    <w:rsid w:val="00A10B60"/>
    <w:rsid w:val="00A10EBB"/>
    <w:rsid w:val="00A11BC0"/>
    <w:rsid w:val="00A121D5"/>
    <w:rsid w:val="00A12F8E"/>
    <w:rsid w:val="00A13CBA"/>
    <w:rsid w:val="00A1464A"/>
    <w:rsid w:val="00A14EE7"/>
    <w:rsid w:val="00A178E6"/>
    <w:rsid w:val="00A17A02"/>
    <w:rsid w:val="00A17E48"/>
    <w:rsid w:val="00A21225"/>
    <w:rsid w:val="00A215B4"/>
    <w:rsid w:val="00A22A37"/>
    <w:rsid w:val="00A24749"/>
    <w:rsid w:val="00A252D0"/>
    <w:rsid w:val="00A26E24"/>
    <w:rsid w:val="00A27029"/>
    <w:rsid w:val="00A27BE2"/>
    <w:rsid w:val="00A3030F"/>
    <w:rsid w:val="00A3059C"/>
    <w:rsid w:val="00A3074A"/>
    <w:rsid w:val="00A33990"/>
    <w:rsid w:val="00A340E2"/>
    <w:rsid w:val="00A34699"/>
    <w:rsid w:val="00A355CE"/>
    <w:rsid w:val="00A35C8F"/>
    <w:rsid w:val="00A36D16"/>
    <w:rsid w:val="00A36E5D"/>
    <w:rsid w:val="00A3727B"/>
    <w:rsid w:val="00A40AFC"/>
    <w:rsid w:val="00A40E02"/>
    <w:rsid w:val="00A411CA"/>
    <w:rsid w:val="00A42319"/>
    <w:rsid w:val="00A44438"/>
    <w:rsid w:val="00A458CE"/>
    <w:rsid w:val="00A46682"/>
    <w:rsid w:val="00A46C82"/>
    <w:rsid w:val="00A473F3"/>
    <w:rsid w:val="00A47695"/>
    <w:rsid w:val="00A516F2"/>
    <w:rsid w:val="00A52EAC"/>
    <w:rsid w:val="00A52F65"/>
    <w:rsid w:val="00A53814"/>
    <w:rsid w:val="00A540FF"/>
    <w:rsid w:val="00A54743"/>
    <w:rsid w:val="00A5499F"/>
    <w:rsid w:val="00A55058"/>
    <w:rsid w:val="00A56393"/>
    <w:rsid w:val="00A56DF5"/>
    <w:rsid w:val="00A56E1B"/>
    <w:rsid w:val="00A57738"/>
    <w:rsid w:val="00A600A6"/>
    <w:rsid w:val="00A60545"/>
    <w:rsid w:val="00A6154E"/>
    <w:rsid w:val="00A61596"/>
    <w:rsid w:val="00A61BD3"/>
    <w:rsid w:val="00A63AEE"/>
    <w:rsid w:val="00A64040"/>
    <w:rsid w:val="00A651C1"/>
    <w:rsid w:val="00A6572A"/>
    <w:rsid w:val="00A66605"/>
    <w:rsid w:val="00A711CC"/>
    <w:rsid w:val="00A71D73"/>
    <w:rsid w:val="00A724EF"/>
    <w:rsid w:val="00A72CB4"/>
    <w:rsid w:val="00A73F02"/>
    <w:rsid w:val="00A76435"/>
    <w:rsid w:val="00A76B91"/>
    <w:rsid w:val="00A7720F"/>
    <w:rsid w:val="00A77C33"/>
    <w:rsid w:val="00A77F87"/>
    <w:rsid w:val="00A81E65"/>
    <w:rsid w:val="00A824E2"/>
    <w:rsid w:val="00A82F7F"/>
    <w:rsid w:val="00A838E4"/>
    <w:rsid w:val="00A84237"/>
    <w:rsid w:val="00A842DE"/>
    <w:rsid w:val="00A84645"/>
    <w:rsid w:val="00A846F2"/>
    <w:rsid w:val="00A85C51"/>
    <w:rsid w:val="00A86086"/>
    <w:rsid w:val="00A864AD"/>
    <w:rsid w:val="00A86B5A"/>
    <w:rsid w:val="00A87A00"/>
    <w:rsid w:val="00A87DF3"/>
    <w:rsid w:val="00A87DF6"/>
    <w:rsid w:val="00A9076F"/>
    <w:rsid w:val="00A90D32"/>
    <w:rsid w:val="00A9173C"/>
    <w:rsid w:val="00A95A09"/>
    <w:rsid w:val="00A95C73"/>
    <w:rsid w:val="00A971FF"/>
    <w:rsid w:val="00A976E5"/>
    <w:rsid w:val="00AA16B7"/>
    <w:rsid w:val="00AA19F5"/>
    <w:rsid w:val="00AA1EBA"/>
    <w:rsid w:val="00AA26BA"/>
    <w:rsid w:val="00AA295B"/>
    <w:rsid w:val="00AA2D25"/>
    <w:rsid w:val="00AA3683"/>
    <w:rsid w:val="00AA387D"/>
    <w:rsid w:val="00AA3B21"/>
    <w:rsid w:val="00AA4DC6"/>
    <w:rsid w:val="00AA504B"/>
    <w:rsid w:val="00AA74A1"/>
    <w:rsid w:val="00AA784A"/>
    <w:rsid w:val="00AB0413"/>
    <w:rsid w:val="00AB066E"/>
    <w:rsid w:val="00AB1479"/>
    <w:rsid w:val="00AB31FF"/>
    <w:rsid w:val="00AB3CE7"/>
    <w:rsid w:val="00AB476A"/>
    <w:rsid w:val="00AB49CD"/>
    <w:rsid w:val="00AB5115"/>
    <w:rsid w:val="00AB543F"/>
    <w:rsid w:val="00AB5DAD"/>
    <w:rsid w:val="00AB6187"/>
    <w:rsid w:val="00AC0BFD"/>
    <w:rsid w:val="00AC2DB5"/>
    <w:rsid w:val="00AC3036"/>
    <w:rsid w:val="00AC31CE"/>
    <w:rsid w:val="00AC54F3"/>
    <w:rsid w:val="00AC6E0E"/>
    <w:rsid w:val="00AC7253"/>
    <w:rsid w:val="00AC7426"/>
    <w:rsid w:val="00AD009B"/>
    <w:rsid w:val="00AD08CD"/>
    <w:rsid w:val="00AD17E4"/>
    <w:rsid w:val="00AD265B"/>
    <w:rsid w:val="00AD3032"/>
    <w:rsid w:val="00AD34A3"/>
    <w:rsid w:val="00AD3556"/>
    <w:rsid w:val="00AD56C9"/>
    <w:rsid w:val="00AD618D"/>
    <w:rsid w:val="00AD7402"/>
    <w:rsid w:val="00AD76A3"/>
    <w:rsid w:val="00AE1551"/>
    <w:rsid w:val="00AE210A"/>
    <w:rsid w:val="00AE24F1"/>
    <w:rsid w:val="00AE3580"/>
    <w:rsid w:val="00AE4FBF"/>
    <w:rsid w:val="00AE513C"/>
    <w:rsid w:val="00AE5CFA"/>
    <w:rsid w:val="00AE684E"/>
    <w:rsid w:val="00AE6879"/>
    <w:rsid w:val="00AE739F"/>
    <w:rsid w:val="00AE788C"/>
    <w:rsid w:val="00AE78A3"/>
    <w:rsid w:val="00AF00FB"/>
    <w:rsid w:val="00AF43FE"/>
    <w:rsid w:val="00AF4D0C"/>
    <w:rsid w:val="00AF4DCB"/>
    <w:rsid w:val="00AF4FA4"/>
    <w:rsid w:val="00AF5026"/>
    <w:rsid w:val="00AF51BD"/>
    <w:rsid w:val="00AF5E3D"/>
    <w:rsid w:val="00AF6ADE"/>
    <w:rsid w:val="00B0374D"/>
    <w:rsid w:val="00B04D09"/>
    <w:rsid w:val="00B064D0"/>
    <w:rsid w:val="00B10F46"/>
    <w:rsid w:val="00B117B8"/>
    <w:rsid w:val="00B12C7C"/>
    <w:rsid w:val="00B1486D"/>
    <w:rsid w:val="00B1564E"/>
    <w:rsid w:val="00B16446"/>
    <w:rsid w:val="00B1676B"/>
    <w:rsid w:val="00B171CD"/>
    <w:rsid w:val="00B17853"/>
    <w:rsid w:val="00B17957"/>
    <w:rsid w:val="00B17EA6"/>
    <w:rsid w:val="00B20A41"/>
    <w:rsid w:val="00B20BB7"/>
    <w:rsid w:val="00B210D3"/>
    <w:rsid w:val="00B210F3"/>
    <w:rsid w:val="00B21E9C"/>
    <w:rsid w:val="00B2401D"/>
    <w:rsid w:val="00B2558C"/>
    <w:rsid w:val="00B2722E"/>
    <w:rsid w:val="00B27664"/>
    <w:rsid w:val="00B27CEE"/>
    <w:rsid w:val="00B30066"/>
    <w:rsid w:val="00B31D1C"/>
    <w:rsid w:val="00B326A6"/>
    <w:rsid w:val="00B32BF8"/>
    <w:rsid w:val="00B33E0E"/>
    <w:rsid w:val="00B347D3"/>
    <w:rsid w:val="00B368F3"/>
    <w:rsid w:val="00B36BEA"/>
    <w:rsid w:val="00B371BB"/>
    <w:rsid w:val="00B3723A"/>
    <w:rsid w:val="00B37258"/>
    <w:rsid w:val="00B379EF"/>
    <w:rsid w:val="00B41ACB"/>
    <w:rsid w:val="00B41E37"/>
    <w:rsid w:val="00B43AB8"/>
    <w:rsid w:val="00B44D78"/>
    <w:rsid w:val="00B46C10"/>
    <w:rsid w:val="00B470E5"/>
    <w:rsid w:val="00B47420"/>
    <w:rsid w:val="00B50570"/>
    <w:rsid w:val="00B50E30"/>
    <w:rsid w:val="00B520AB"/>
    <w:rsid w:val="00B52A70"/>
    <w:rsid w:val="00B53093"/>
    <w:rsid w:val="00B54013"/>
    <w:rsid w:val="00B546AD"/>
    <w:rsid w:val="00B54865"/>
    <w:rsid w:val="00B549B8"/>
    <w:rsid w:val="00B562D8"/>
    <w:rsid w:val="00B56780"/>
    <w:rsid w:val="00B572EB"/>
    <w:rsid w:val="00B578F2"/>
    <w:rsid w:val="00B60346"/>
    <w:rsid w:val="00B60561"/>
    <w:rsid w:val="00B6060A"/>
    <w:rsid w:val="00B607A6"/>
    <w:rsid w:val="00B61BB1"/>
    <w:rsid w:val="00B61DE9"/>
    <w:rsid w:val="00B62160"/>
    <w:rsid w:val="00B62266"/>
    <w:rsid w:val="00B63ED9"/>
    <w:rsid w:val="00B642DA"/>
    <w:rsid w:val="00B65502"/>
    <w:rsid w:val="00B65509"/>
    <w:rsid w:val="00B655A1"/>
    <w:rsid w:val="00B66873"/>
    <w:rsid w:val="00B66A05"/>
    <w:rsid w:val="00B66E42"/>
    <w:rsid w:val="00B67A5D"/>
    <w:rsid w:val="00B7072B"/>
    <w:rsid w:val="00B70FFF"/>
    <w:rsid w:val="00B716B9"/>
    <w:rsid w:val="00B71B14"/>
    <w:rsid w:val="00B731B1"/>
    <w:rsid w:val="00B73D47"/>
    <w:rsid w:val="00B7421F"/>
    <w:rsid w:val="00B74715"/>
    <w:rsid w:val="00B7487F"/>
    <w:rsid w:val="00B75397"/>
    <w:rsid w:val="00B75F08"/>
    <w:rsid w:val="00B760F0"/>
    <w:rsid w:val="00B761C0"/>
    <w:rsid w:val="00B76244"/>
    <w:rsid w:val="00B76675"/>
    <w:rsid w:val="00B770A8"/>
    <w:rsid w:val="00B77D93"/>
    <w:rsid w:val="00B80B5F"/>
    <w:rsid w:val="00B80F2C"/>
    <w:rsid w:val="00B82040"/>
    <w:rsid w:val="00B8238C"/>
    <w:rsid w:val="00B8284A"/>
    <w:rsid w:val="00B831D2"/>
    <w:rsid w:val="00B83E60"/>
    <w:rsid w:val="00B85018"/>
    <w:rsid w:val="00B856F0"/>
    <w:rsid w:val="00B87E00"/>
    <w:rsid w:val="00B90297"/>
    <w:rsid w:val="00B915C4"/>
    <w:rsid w:val="00B92A6A"/>
    <w:rsid w:val="00B94396"/>
    <w:rsid w:val="00B9448E"/>
    <w:rsid w:val="00B949BD"/>
    <w:rsid w:val="00B953E6"/>
    <w:rsid w:val="00B957AE"/>
    <w:rsid w:val="00B95C13"/>
    <w:rsid w:val="00B95C1C"/>
    <w:rsid w:val="00B96125"/>
    <w:rsid w:val="00B961D0"/>
    <w:rsid w:val="00B9644F"/>
    <w:rsid w:val="00B96910"/>
    <w:rsid w:val="00B97019"/>
    <w:rsid w:val="00B977CE"/>
    <w:rsid w:val="00B97A31"/>
    <w:rsid w:val="00B97E6C"/>
    <w:rsid w:val="00BA019C"/>
    <w:rsid w:val="00BA080B"/>
    <w:rsid w:val="00BA1394"/>
    <w:rsid w:val="00BA20C9"/>
    <w:rsid w:val="00BA3E77"/>
    <w:rsid w:val="00BA46A7"/>
    <w:rsid w:val="00BA522B"/>
    <w:rsid w:val="00BB08CC"/>
    <w:rsid w:val="00BB0A16"/>
    <w:rsid w:val="00BB0C41"/>
    <w:rsid w:val="00BB0C66"/>
    <w:rsid w:val="00BB1591"/>
    <w:rsid w:val="00BB2A95"/>
    <w:rsid w:val="00BB2CA6"/>
    <w:rsid w:val="00BB30A9"/>
    <w:rsid w:val="00BB32E5"/>
    <w:rsid w:val="00BB4A0F"/>
    <w:rsid w:val="00BB5026"/>
    <w:rsid w:val="00BB50A0"/>
    <w:rsid w:val="00BB516D"/>
    <w:rsid w:val="00BB5D9B"/>
    <w:rsid w:val="00BB60E8"/>
    <w:rsid w:val="00BB6E0A"/>
    <w:rsid w:val="00BB7978"/>
    <w:rsid w:val="00BB7EDB"/>
    <w:rsid w:val="00BC0DC1"/>
    <w:rsid w:val="00BC134F"/>
    <w:rsid w:val="00BC31FB"/>
    <w:rsid w:val="00BC34EE"/>
    <w:rsid w:val="00BC36F0"/>
    <w:rsid w:val="00BC3A62"/>
    <w:rsid w:val="00BC3A85"/>
    <w:rsid w:val="00BC45FB"/>
    <w:rsid w:val="00BC4F58"/>
    <w:rsid w:val="00BC7ACC"/>
    <w:rsid w:val="00BD1B0E"/>
    <w:rsid w:val="00BD3463"/>
    <w:rsid w:val="00BD3F01"/>
    <w:rsid w:val="00BD429D"/>
    <w:rsid w:val="00BD45DD"/>
    <w:rsid w:val="00BD5622"/>
    <w:rsid w:val="00BD642B"/>
    <w:rsid w:val="00BD6AEC"/>
    <w:rsid w:val="00BD7126"/>
    <w:rsid w:val="00BD7150"/>
    <w:rsid w:val="00BD7D72"/>
    <w:rsid w:val="00BE0AC1"/>
    <w:rsid w:val="00BE1634"/>
    <w:rsid w:val="00BE1C83"/>
    <w:rsid w:val="00BE3ABC"/>
    <w:rsid w:val="00BE49FE"/>
    <w:rsid w:val="00BE5F97"/>
    <w:rsid w:val="00BE65AE"/>
    <w:rsid w:val="00BF0436"/>
    <w:rsid w:val="00BF0F65"/>
    <w:rsid w:val="00BF24AD"/>
    <w:rsid w:val="00BF3B06"/>
    <w:rsid w:val="00BF473D"/>
    <w:rsid w:val="00BF5666"/>
    <w:rsid w:val="00C000A6"/>
    <w:rsid w:val="00C00B03"/>
    <w:rsid w:val="00C00C66"/>
    <w:rsid w:val="00C01C74"/>
    <w:rsid w:val="00C01EB0"/>
    <w:rsid w:val="00C030F8"/>
    <w:rsid w:val="00C042F7"/>
    <w:rsid w:val="00C0433E"/>
    <w:rsid w:val="00C0483B"/>
    <w:rsid w:val="00C04E82"/>
    <w:rsid w:val="00C05726"/>
    <w:rsid w:val="00C05A2E"/>
    <w:rsid w:val="00C06054"/>
    <w:rsid w:val="00C060B8"/>
    <w:rsid w:val="00C06379"/>
    <w:rsid w:val="00C07447"/>
    <w:rsid w:val="00C075CC"/>
    <w:rsid w:val="00C101A8"/>
    <w:rsid w:val="00C1052E"/>
    <w:rsid w:val="00C13BD0"/>
    <w:rsid w:val="00C146FC"/>
    <w:rsid w:val="00C154D2"/>
    <w:rsid w:val="00C156CC"/>
    <w:rsid w:val="00C15794"/>
    <w:rsid w:val="00C15D66"/>
    <w:rsid w:val="00C16190"/>
    <w:rsid w:val="00C17090"/>
    <w:rsid w:val="00C177EA"/>
    <w:rsid w:val="00C17EE2"/>
    <w:rsid w:val="00C20C27"/>
    <w:rsid w:val="00C21452"/>
    <w:rsid w:val="00C23903"/>
    <w:rsid w:val="00C23B36"/>
    <w:rsid w:val="00C24343"/>
    <w:rsid w:val="00C26A49"/>
    <w:rsid w:val="00C26C4E"/>
    <w:rsid w:val="00C27401"/>
    <w:rsid w:val="00C27B81"/>
    <w:rsid w:val="00C306BB"/>
    <w:rsid w:val="00C327E9"/>
    <w:rsid w:val="00C3335C"/>
    <w:rsid w:val="00C36027"/>
    <w:rsid w:val="00C361D3"/>
    <w:rsid w:val="00C36469"/>
    <w:rsid w:val="00C37D02"/>
    <w:rsid w:val="00C4035B"/>
    <w:rsid w:val="00C440ED"/>
    <w:rsid w:val="00C45A59"/>
    <w:rsid w:val="00C45B4D"/>
    <w:rsid w:val="00C46105"/>
    <w:rsid w:val="00C46D19"/>
    <w:rsid w:val="00C4705D"/>
    <w:rsid w:val="00C4776D"/>
    <w:rsid w:val="00C51939"/>
    <w:rsid w:val="00C51E21"/>
    <w:rsid w:val="00C52DE6"/>
    <w:rsid w:val="00C537F3"/>
    <w:rsid w:val="00C54589"/>
    <w:rsid w:val="00C56A6E"/>
    <w:rsid w:val="00C5718C"/>
    <w:rsid w:val="00C57679"/>
    <w:rsid w:val="00C578BB"/>
    <w:rsid w:val="00C57D46"/>
    <w:rsid w:val="00C611FC"/>
    <w:rsid w:val="00C61469"/>
    <w:rsid w:val="00C625B1"/>
    <w:rsid w:val="00C63B14"/>
    <w:rsid w:val="00C64542"/>
    <w:rsid w:val="00C64D26"/>
    <w:rsid w:val="00C6545E"/>
    <w:rsid w:val="00C65A42"/>
    <w:rsid w:val="00C669EA"/>
    <w:rsid w:val="00C66D77"/>
    <w:rsid w:val="00C67DB5"/>
    <w:rsid w:val="00C67F85"/>
    <w:rsid w:val="00C70BCA"/>
    <w:rsid w:val="00C71EF8"/>
    <w:rsid w:val="00C72882"/>
    <w:rsid w:val="00C72F34"/>
    <w:rsid w:val="00C7364A"/>
    <w:rsid w:val="00C73A67"/>
    <w:rsid w:val="00C750B9"/>
    <w:rsid w:val="00C75A54"/>
    <w:rsid w:val="00C7608B"/>
    <w:rsid w:val="00C770F3"/>
    <w:rsid w:val="00C8294F"/>
    <w:rsid w:val="00C82CC5"/>
    <w:rsid w:val="00C832A5"/>
    <w:rsid w:val="00C8336F"/>
    <w:rsid w:val="00C84705"/>
    <w:rsid w:val="00C8622B"/>
    <w:rsid w:val="00C864D0"/>
    <w:rsid w:val="00C8783C"/>
    <w:rsid w:val="00C90171"/>
    <w:rsid w:val="00C90604"/>
    <w:rsid w:val="00C9067A"/>
    <w:rsid w:val="00C90D7E"/>
    <w:rsid w:val="00C90EDF"/>
    <w:rsid w:val="00C90F2D"/>
    <w:rsid w:val="00C911AC"/>
    <w:rsid w:val="00C91714"/>
    <w:rsid w:val="00C91ED3"/>
    <w:rsid w:val="00C92E8A"/>
    <w:rsid w:val="00C93C81"/>
    <w:rsid w:val="00C96E61"/>
    <w:rsid w:val="00CA0032"/>
    <w:rsid w:val="00CA0AAA"/>
    <w:rsid w:val="00CA1261"/>
    <w:rsid w:val="00CA1455"/>
    <w:rsid w:val="00CA1E8E"/>
    <w:rsid w:val="00CA304A"/>
    <w:rsid w:val="00CA3472"/>
    <w:rsid w:val="00CA5DEA"/>
    <w:rsid w:val="00CA609F"/>
    <w:rsid w:val="00CA6E68"/>
    <w:rsid w:val="00CA74DB"/>
    <w:rsid w:val="00CA7646"/>
    <w:rsid w:val="00CB1055"/>
    <w:rsid w:val="00CB10E9"/>
    <w:rsid w:val="00CB1950"/>
    <w:rsid w:val="00CB2145"/>
    <w:rsid w:val="00CB2254"/>
    <w:rsid w:val="00CB27C8"/>
    <w:rsid w:val="00CB2BD7"/>
    <w:rsid w:val="00CB3CC8"/>
    <w:rsid w:val="00CB412E"/>
    <w:rsid w:val="00CB4C03"/>
    <w:rsid w:val="00CB5011"/>
    <w:rsid w:val="00CB5083"/>
    <w:rsid w:val="00CB5ABA"/>
    <w:rsid w:val="00CB6104"/>
    <w:rsid w:val="00CB7DC2"/>
    <w:rsid w:val="00CB7EE9"/>
    <w:rsid w:val="00CC0071"/>
    <w:rsid w:val="00CC06D0"/>
    <w:rsid w:val="00CC0BFC"/>
    <w:rsid w:val="00CC0DD3"/>
    <w:rsid w:val="00CC1188"/>
    <w:rsid w:val="00CC16D5"/>
    <w:rsid w:val="00CC1786"/>
    <w:rsid w:val="00CC180C"/>
    <w:rsid w:val="00CC2970"/>
    <w:rsid w:val="00CC3512"/>
    <w:rsid w:val="00CC427C"/>
    <w:rsid w:val="00CC7151"/>
    <w:rsid w:val="00CC767C"/>
    <w:rsid w:val="00CC784C"/>
    <w:rsid w:val="00CD01D0"/>
    <w:rsid w:val="00CD050B"/>
    <w:rsid w:val="00CD1231"/>
    <w:rsid w:val="00CD1822"/>
    <w:rsid w:val="00CD2634"/>
    <w:rsid w:val="00CD2A1B"/>
    <w:rsid w:val="00CD3B19"/>
    <w:rsid w:val="00CD3EDA"/>
    <w:rsid w:val="00CD777D"/>
    <w:rsid w:val="00CE30FC"/>
    <w:rsid w:val="00CE48EB"/>
    <w:rsid w:val="00CE51A6"/>
    <w:rsid w:val="00CE5548"/>
    <w:rsid w:val="00CE573C"/>
    <w:rsid w:val="00CE5EA4"/>
    <w:rsid w:val="00CE669C"/>
    <w:rsid w:val="00CE68F8"/>
    <w:rsid w:val="00CE7A69"/>
    <w:rsid w:val="00CF2131"/>
    <w:rsid w:val="00CF2A23"/>
    <w:rsid w:val="00CF3562"/>
    <w:rsid w:val="00CF3974"/>
    <w:rsid w:val="00CF45FC"/>
    <w:rsid w:val="00CF51FC"/>
    <w:rsid w:val="00CF5656"/>
    <w:rsid w:val="00CF6123"/>
    <w:rsid w:val="00CF6536"/>
    <w:rsid w:val="00CF70B6"/>
    <w:rsid w:val="00D00003"/>
    <w:rsid w:val="00D001B5"/>
    <w:rsid w:val="00D003F0"/>
    <w:rsid w:val="00D018DF"/>
    <w:rsid w:val="00D01D45"/>
    <w:rsid w:val="00D01EBC"/>
    <w:rsid w:val="00D0304C"/>
    <w:rsid w:val="00D04F67"/>
    <w:rsid w:val="00D0541D"/>
    <w:rsid w:val="00D06202"/>
    <w:rsid w:val="00D077AA"/>
    <w:rsid w:val="00D07888"/>
    <w:rsid w:val="00D10809"/>
    <w:rsid w:val="00D1081F"/>
    <w:rsid w:val="00D10BDC"/>
    <w:rsid w:val="00D1172F"/>
    <w:rsid w:val="00D11B40"/>
    <w:rsid w:val="00D16180"/>
    <w:rsid w:val="00D203EB"/>
    <w:rsid w:val="00D20C37"/>
    <w:rsid w:val="00D211D3"/>
    <w:rsid w:val="00D21D5A"/>
    <w:rsid w:val="00D21E63"/>
    <w:rsid w:val="00D2277D"/>
    <w:rsid w:val="00D227F2"/>
    <w:rsid w:val="00D2687D"/>
    <w:rsid w:val="00D27441"/>
    <w:rsid w:val="00D3057D"/>
    <w:rsid w:val="00D30834"/>
    <w:rsid w:val="00D308A5"/>
    <w:rsid w:val="00D30B51"/>
    <w:rsid w:val="00D312C4"/>
    <w:rsid w:val="00D3229F"/>
    <w:rsid w:val="00D33D7E"/>
    <w:rsid w:val="00D347A8"/>
    <w:rsid w:val="00D347F4"/>
    <w:rsid w:val="00D34ABC"/>
    <w:rsid w:val="00D35D30"/>
    <w:rsid w:val="00D36307"/>
    <w:rsid w:val="00D37040"/>
    <w:rsid w:val="00D37309"/>
    <w:rsid w:val="00D37811"/>
    <w:rsid w:val="00D4038F"/>
    <w:rsid w:val="00D415D5"/>
    <w:rsid w:val="00D424E4"/>
    <w:rsid w:val="00D42F1C"/>
    <w:rsid w:val="00D431D3"/>
    <w:rsid w:val="00D433FF"/>
    <w:rsid w:val="00D44332"/>
    <w:rsid w:val="00D45A06"/>
    <w:rsid w:val="00D462EB"/>
    <w:rsid w:val="00D4723A"/>
    <w:rsid w:val="00D50666"/>
    <w:rsid w:val="00D5089E"/>
    <w:rsid w:val="00D511BD"/>
    <w:rsid w:val="00D5399F"/>
    <w:rsid w:val="00D53BF4"/>
    <w:rsid w:val="00D53C49"/>
    <w:rsid w:val="00D54031"/>
    <w:rsid w:val="00D54F40"/>
    <w:rsid w:val="00D55908"/>
    <w:rsid w:val="00D566AF"/>
    <w:rsid w:val="00D57012"/>
    <w:rsid w:val="00D60776"/>
    <w:rsid w:val="00D61030"/>
    <w:rsid w:val="00D614E7"/>
    <w:rsid w:val="00D61CBD"/>
    <w:rsid w:val="00D61D0E"/>
    <w:rsid w:val="00D62B10"/>
    <w:rsid w:val="00D64AB6"/>
    <w:rsid w:val="00D64D7F"/>
    <w:rsid w:val="00D65C03"/>
    <w:rsid w:val="00D65E7A"/>
    <w:rsid w:val="00D66259"/>
    <w:rsid w:val="00D70C7C"/>
    <w:rsid w:val="00D716E1"/>
    <w:rsid w:val="00D71BD1"/>
    <w:rsid w:val="00D7400D"/>
    <w:rsid w:val="00D752DA"/>
    <w:rsid w:val="00D76E8E"/>
    <w:rsid w:val="00D77B47"/>
    <w:rsid w:val="00D80A86"/>
    <w:rsid w:val="00D80FAF"/>
    <w:rsid w:val="00D81560"/>
    <w:rsid w:val="00D83EA7"/>
    <w:rsid w:val="00D8471C"/>
    <w:rsid w:val="00D85522"/>
    <w:rsid w:val="00D855CF"/>
    <w:rsid w:val="00D90697"/>
    <w:rsid w:val="00D90EA3"/>
    <w:rsid w:val="00D91282"/>
    <w:rsid w:val="00D92A24"/>
    <w:rsid w:val="00D9347C"/>
    <w:rsid w:val="00D93667"/>
    <w:rsid w:val="00D94B69"/>
    <w:rsid w:val="00D95379"/>
    <w:rsid w:val="00D95494"/>
    <w:rsid w:val="00D95923"/>
    <w:rsid w:val="00D96047"/>
    <w:rsid w:val="00DA030C"/>
    <w:rsid w:val="00DA12C8"/>
    <w:rsid w:val="00DA1EFA"/>
    <w:rsid w:val="00DA1F04"/>
    <w:rsid w:val="00DA2565"/>
    <w:rsid w:val="00DA3207"/>
    <w:rsid w:val="00DA3753"/>
    <w:rsid w:val="00DA5AC6"/>
    <w:rsid w:val="00DA65F0"/>
    <w:rsid w:val="00DA74FF"/>
    <w:rsid w:val="00DA7D20"/>
    <w:rsid w:val="00DB0043"/>
    <w:rsid w:val="00DB0EF2"/>
    <w:rsid w:val="00DB1B5B"/>
    <w:rsid w:val="00DB1F80"/>
    <w:rsid w:val="00DB2DB9"/>
    <w:rsid w:val="00DB2F7B"/>
    <w:rsid w:val="00DB3FB3"/>
    <w:rsid w:val="00DB436D"/>
    <w:rsid w:val="00DB4CF5"/>
    <w:rsid w:val="00DB531B"/>
    <w:rsid w:val="00DB54C5"/>
    <w:rsid w:val="00DB5886"/>
    <w:rsid w:val="00DB6187"/>
    <w:rsid w:val="00DB62DE"/>
    <w:rsid w:val="00DB645F"/>
    <w:rsid w:val="00DB7C20"/>
    <w:rsid w:val="00DC076F"/>
    <w:rsid w:val="00DC15C6"/>
    <w:rsid w:val="00DC2289"/>
    <w:rsid w:val="00DC22E6"/>
    <w:rsid w:val="00DC3464"/>
    <w:rsid w:val="00DC37FB"/>
    <w:rsid w:val="00DC569C"/>
    <w:rsid w:val="00DC5A40"/>
    <w:rsid w:val="00DC70CC"/>
    <w:rsid w:val="00DC7404"/>
    <w:rsid w:val="00DC7690"/>
    <w:rsid w:val="00DC78B9"/>
    <w:rsid w:val="00DD02A2"/>
    <w:rsid w:val="00DD07F4"/>
    <w:rsid w:val="00DD08B3"/>
    <w:rsid w:val="00DD0D6B"/>
    <w:rsid w:val="00DD0E5B"/>
    <w:rsid w:val="00DD1088"/>
    <w:rsid w:val="00DD2431"/>
    <w:rsid w:val="00DD2503"/>
    <w:rsid w:val="00DD418D"/>
    <w:rsid w:val="00DD4343"/>
    <w:rsid w:val="00DD4A6A"/>
    <w:rsid w:val="00DD4B6C"/>
    <w:rsid w:val="00DD5C50"/>
    <w:rsid w:val="00DD5DFF"/>
    <w:rsid w:val="00DD6A3C"/>
    <w:rsid w:val="00DD6A93"/>
    <w:rsid w:val="00DD72CF"/>
    <w:rsid w:val="00DD7625"/>
    <w:rsid w:val="00DE0FA5"/>
    <w:rsid w:val="00DE106B"/>
    <w:rsid w:val="00DE2DEF"/>
    <w:rsid w:val="00DE3045"/>
    <w:rsid w:val="00DE327E"/>
    <w:rsid w:val="00DE4BA5"/>
    <w:rsid w:val="00DE70D5"/>
    <w:rsid w:val="00DE728A"/>
    <w:rsid w:val="00DE73FD"/>
    <w:rsid w:val="00DE7437"/>
    <w:rsid w:val="00DF2D6C"/>
    <w:rsid w:val="00DF31BA"/>
    <w:rsid w:val="00DF3469"/>
    <w:rsid w:val="00DF34EC"/>
    <w:rsid w:val="00DF3F0C"/>
    <w:rsid w:val="00DF4F8C"/>
    <w:rsid w:val="00DF5283"/>
    <w:rsid w:val="00DF5D64"/>
    <w:rsid w:val="00DF7238"/>
    <w:rsid w:val="00DF7C56"/>
    <w:rsid w:val="00E00039"/>
    <w:rsid w:val="00E001A6"/>
    <w:rsid w:val="00E0117D"/>
    <w:rsid w:val="00E01215"/>
    <w:rsid w:val="00E02EE5"/>
    <w:rsid w:val="00E038C4"/>
    <w:rsid w:val="00E03B84"/>
    <w:rsid w:val="00E04516"/>
    <w:rsid w:val="00E06013"/>
    <w:rsid w:val="00E067FC"/>
    <w:rsid w:val="00E06ECD"/>
    <w:rsid w:val="00E0752F"/>
    <w:rsid w:val="00E07960"/>
    <w:rsid w:val="00E07C37"/>
    <w:rsid w:val="00E10C55"/>
    <w:rsid w:val="00E10E87"/>
    <w:rsid w:val="00E110BC"/>
    <w:rsid w:val="00E11172"/>
    <w:rsid w:val="00E1140D"/>
    <w:rsid w:val="00E11C82"/>
    <w:rsid w:val="00E141AC"/>
    <w:rsid w:val="00E142E7"/>
    <w:rsid w:val="00E14ECC"/>
    <w:rsid w:val="00E158E2"/>
    <w:rsid w:val="00E15A33"/>
    <w:rsid w:val="00E1632D"/>
    <w:rsid w:val="00E16407"/>
    <w:rsid w:val="00E20104"/>
    <w:rsid w:val="00E24416"/>
    <w:rsid w:val="00E25684"/>
    <w:rsid w:val="00E2709D"/>
    <w:rsid w:val="00E27736"/>
    <w:rsid w:val="00E27E7C"/>
    <w:rsid w:val="00E300F2"/>
    <w:rsid w:val="00E301F3"/>
    <w:rsid w:val="00E303CC"/>
    <w:rsid w:val="00E3048A"/>
    <w:rsid w:val="00E3167B"/>
    <w:rsid w:val="00E323EE"/>
    <w:rsid w:val="00E32B7A"/>
    <w:rsid w:val="00E32DAB"/>
    <w:rsid w:val="00E33EC6"/>
    <w:rsid w:val="00E35A02"/>
    <w:rsid w:val="00E36282"/>
    <w:rsid w:val="00E3696E"/>
    <w:rsid w:val="00E36C85"/>
    <w:rsid w:val="00E37B7B"/>
    <w:rsid w:val="00E40848"/>
    <w:rsid w:val="00E40C54"/>
    <w:rsid w:val="00E4232F"/>
    <w:rsid w:val="00E428BE"/>
    <w:rsid w:val="00E44627"/>
    <w:rsid w:val="00E44900"/>
    <w:rsid w:val="00E4506F"/>
    <w:rsid w:val="00E4519C"/>
    <w:rsid w:val="00E455DD"/>
    <w:rsid w:val="00E45DBA"/>
    <w:rsid w:val="00E46C51"/>
    <w:rsid w:val="00E473FD"/>
    <w:rsid w:val="00E47DF0"/>
    <w:rsid w:val="00E50028"/>
    <w:rsid w:val="00E51EAD"/>
    <w:rsid w:val="00E52127"/>
    <w:rsid w:val="00E53E66"/>
    <w:rsid w:val="00E56117"/>
    <w:rsid w:val="00E573F0"/>
    <w:rsid w:val="00E6031F"/>
    <w:rsid w:val="00E60DE1"/>
    <w:rsid w:val="00E61F74"/>
    <w:rsid w:val="00E622A9"/>
    <w:rsid w:val="00E62AFF"/>
    <w:rsid w:val="00E62B6A"/>
    <w:rsid w:val="00E62E6A"/>
    <w:rsid w:val="00E630A8"/>
    <w:rsid w:val="00E631A4"/>
    <w:rsid w:val="00E635F4"/>
    <w:rsid w:val="00E63CD6"/>
    <w:rsid w:val="00E63E9C"/>
    <w:rsid w:val="00E6449D"/>
    <w:rsid w:val="00E64CB2"/>
    <w:rsid w:val="00E656FF"/>
    <w:rsid w:val="00E66156"/>
    <w:rsid w:val="00E66D21"/>
    <w:rsid w:val="00E6747A"/>
    <w:rsid w:val="00E67986"/>
    <w:rsid w:val="00E67C4E"/>
    <w:rsid w:val="00E7027B"/>
    <w:rsid w:val="00E707CD"/>
    <w:rsid w:val="00E71BA9"/>
    <w:rsid w:val="00E71F99"/>
    <w:rsid w:val="00E72A7E"/>
    <w:rsid w:val="00E741A9"/>
    <w:rsid w:val="00E75D23"/>
    <w:rsid w:val="00E76BD1"/>
    <w:rsid w:val="00E77118"/>
    <w:rsid w:val="00E807A6"/>
    <w:rsid w:val="00E82C05"/>
    <w:rsid w:val="00E832B2"/>
    <w:rsid w:val="00E83F64"/>
    <w:rsid w:val="00E848DB"/>
    <w:rsid w:val="00E84D43"/>
    <w:rsid w:val="00E858B6"/>
    <w:rsid w:val="00E85BC2"/>
    <w:rsid w:val="00E860D6"/>
    <w:rsid w:val="00E86C0C"/>
    <w:rsid w:val="00E86F19"/>
    <w:rsid w:val="00E86FEC"/>
    <w:rsid w:val="00E90799"/>
    <w:rsid w:val="00E94025"/>
    <w:rsid w:val="00E943F3"/>
    <w:rsid w:val="00E95888"/>
    <w:rsid w:val="00E95A29"/>
    <w:rsid w:val="00E963CE"/>
    <w:rsid w:val="00E96988"/>
    <w:rsid w:val="00E974F6"/>
    <w:rsid w:val="00EA0374"/>
    <w:rsid w:val="00EA128F"/>
    <w:rsid w:val="00EA1EBA"/>
    <w:rsid w:val="00EA26FE"/>
    <w:rsid w:val="00EA2C67"/>
    <w:rsid w:val="00EA3680"/>
    <w:rsid w:val="00EA39C7"/>
    <w:rsid w:val="00EA3FB0"/>
    <w:rsid w:val="00EA4232"/>
    <w:rsid w:val="00EA56CE"/>
    <w:rsid w:val="00EA60D0"/>
    <w:rsid w:val="00EA679A"/>
    <w:rsid w:val="00EA77C3"/>
    <w:rsid w:val="00EA7B5C"/>
    <w:rsid w:val="00EB003D"/>
    <w:rsid w:val="00EB151B"/>
    <w:rsid w:val="00EB1B90"/>
    <w:rsid w:val="00EB35C1"/>
    <w:rsid w:val="00EB3A97"/>
    <w:rsid w:val="00EB3E3E"/>
    <w:rsid w:val="00EB404F"/>
    <w:rsid w:val="00EB4194"/>
    <w:rsid w:val="00EB41A8"/>
    <w:rsid w:val="00EB4B38"/>
    <w:rsid w:val="00EB66B8"/>
    <w:rsid w:val="00EB6C91"/>
    <w:rsid w:val="00EB769F"/>
    <w:rsid w:val="00EB7868"/>
    <w:rsid w:val="00EB790D"/>
    <w:rsid w:val="00EC0778"/>
    <w:rsid w:val="00EC1B74"/>
    <w:rsid w:val="00EC1FE1"/>
    <w:rsid w:val="00EC2353"/>
    <w:rsid w:val="00EC345A"/>
    <w:rsid w:val="00EC3AE0"/>
    <w:rsid w:val="00EC40CD"/>
    <w:rsid w:val="00EC456A"/>
    <w:rsid w:val="00EC46E9"/>
    <w:rsid w:val="00EC5136"/>
    <w:rsid w:val="00EC65BB"/>
    <w:rsid w:val="00EC6FF6"/>
    <w:rsid w:val="00EC7289"/>
    <w:rsid w:val="00EC753C"/>
    <w:rsid w:val="00EC78A0"/>
    <w:rsid w:val="00EC7AE7"/>
    <w:rsid w:val="00ED03E1"/>
    <w:rsid w:val="00ED24AC"/>
    <w:rsid w:val="00ED2CE0"/>
    <w:rsid w:val="00ED355F"/>
    <w:rsid w:val="00ED4BAE"/>
    <w:rsid w:val="00ED62E3"/>
    <w:rsid w:val="00ED645C"/>
    <w:rsid w:val="00ED6E2D"/>
    <w:rsid w:val="00ED7094"/>
    <w:rsid w:val="00ED74C8"/>
    <w:rsid w:val="00ED78BA"/>
    <w:rsid w:val="00ED78EC"/>
    <w:rsid w:val="00ED7FE9"/>
    <w:rsid w:val="00EE13BD"/>
    <w:rsid w:val="00EE1EE6"/>
    <w:rsid w:val="00EE1EEA"/>
    <w:rsid w:val="00EE1EF7"/>
    <w:rsid w:val="00EE23DF"/>
    <w:rsid w:val="00EE4CDF"/>
    <w:rsid w:val="00EE51C1"/>
    <w:rsid w:val="00EE6934"/>
    <w:rsid w:val="00EE79C2"/>
    <w:rsid w:val="00EF009C"/>
    <w:rsid w:val="00EF0151"/>
    <w:rsid w:val="00EF03D6"/>
    <w:rsid w:val="00EF0463"/>
    <w:rsid w:val="00EF0693"/>
    <w:rsid w:val="00EF0AF3"/>
    <w:rsid w:val="00EF0D50"/>
    <w:rsid w:val="00EF257A"/>
    <w:rsid w:val="00EF38AE"/>
    <w:rsid w:val="00EF52F8"/>
    <w:rsid w:val="00EF55F3"/>
    <w:rsid w:val="00EF5DEA"/>
    <w:rsid w:val="00EF677A"/>
    <w:rsid w:val="00EF6DA1"/>
    <w:rsid w:val="00EF759A"/>
    <w:rsid w:val="00F00D72"/>
    <w:rsid w:val="00F00F7A"/>
    <w:rsid w:val="00F0209D"/>
    <w:rsid w:val="00F023E0"/>
    <w:rsid w:val="00F02558"/>
    <w:rsid w:val="00F03B5C"/>
    <w:rsid w:val="00F03CD4"/>
    <w:rsid w:val="00F04075"/>
    <w:rsid w:val="00F05606"/>
    <w:rsid w:val="00F0750F"/>
    <w:rsid w:val="00F075B7"/>
    <w:rsid w:val="00F07901"/>
    <w:rsid w:val="00F07999"/>
    <w:rsid w:val="00F1007A"/>
    <w:rsid w:val="00F109F5"/>
    <w:rsid w:val="00F113C9"/>
    <w:rsid w:val="00F11858"/>
    <w:rsid w:val="00F132FA"/>
    <w:rsid w:val="00F143B3"/>
    <w:rsid w:val="00F14E25"/>
    <w:rsid w:val="00F15F5B"/>
    <w:rsid w:val="00F1642A"/>
    <w:rsid w:val="00F2064F"/>
    <w:rsid w:val="00F21A01"/>
    <w:rsid w:val="00F22A44"/>
    <w:rsid w:val="00F2396A"/>
    <w:rsid w:val="00F240E9"/>
    <w:rsid w:val="00F250D7"/>
    <w:rsid w:val="00F25545"/>
    <w:rsid w:val="00F2568F"/>
    <w:rsid w:val="00F263B2"/>
    <w:rsid w:val="00F26968"/>
    <w:rsid w:val="00F269BC"/>
    <w:rsid w:val="00F27D8C"/>
    <w:rsid w:val="00F30743"/>
    <w:rsid w:val="00F30938"/>
    <w:rsid w:val="00F31D36"/>
    <w:rsid w:val="00F326EF"/>
    <w:rsid w:val="00F330F9"/>
    <w:rsid w:val="00F33676"/>
    <w:rsid w:val="00F33F67"/>
    <w:rsid w:val="00F3457C"/>
    <w:rsid w:val="00F367D7"/>
    <w:rsid w:val="00F40B08"/>
    <w:rsid w:val="00F40E2B"/>
    <w:rsid w:val="00F411B9"/>
    <w:rsid w:val="00F41C8E"/>
    <w:rsid w:val="00F425A7"/>
    <w:rsid w:val="00F42C18"/>
    <w:rsid w:val="00F431C8"/>
    <w:rsid w:val="00F434B8"/>
    <w:rsid w:val="00F4440E"/>
    <w:rsid w:val="00F44C73"/>
    <w:rsid w:val="00F44F6E"/>
    <w:rsid w:val="00F45171"/>
    <w:rsid w:val="00F45FA4"/>
    <w:rsid w:val="00F460BB"/>
    <w:rsid w:val="00F4612A"/>
    <w:rsid w:val="00F471EA"/>
    <w:rsid w:val="00F5013F"/>
    <w:rsid w:val="00F50419"/>
    <w:rsid w:val="00F5071C"/>
    <w:rsid w:val="00F50FEB"/>
    <w:rsid w:val="00F518EF"/>
    <w:rsid w:val="00F540D5"/>
    <w:rsid w:val="00F54611"/>
    <w:rsid w:val="00F548DF"/>
    <w:rsid w:val="00F55010"/>
    <w:rsid w:val="00F55135"/>
    <w:rsid w:val="00F5633C"/>
    <w:rsid w:val="00F57A07"/>
    <w:rsid w:val="00F623F0"/>
    <w:rsid w:val="00F627B5"/>
    <w:rsid w:val="00F629DF"/>
    <w:rsid w:val="00F63069"/>
    <w:rsid w:val="00F65BC8"/>
    <w:rsid w:val="00F65F24"/>
    <w:rsid w:val="00F66DE5"/>
    <w:rsid w:val="00F67315"/>
    <w:rsid w:val="00F67C54"/>
    <w:rsid w:val="00F71007"/>
    <w:rsid w:val="00F7114A"/>
    <w:rsid w:val="00F727EA"/>
    <w:rsid w:val="00F74382"/>
    <w:rsid w:val="00F762EA"/>
    <w:rsid w:val="00F76FF6"/>
    <w:rsid w:val="00F7742A"/>
    <w:rsid w:val="00F77447"/>
    <w:rsid w:val="00F813B2"/>
    <w:rsid w:val="00F81B8A"/>
    <w:rsid w:val="00F826A1"/>
    <w:rsid w:val="00F82764"/>
    <w:rsid w:val="00F83C33"/>
    <w:rsid w:val="00F8429B"/>
    <w:rsid w:val="00F84BF2"/>
    <w:rsid w:val="00F86255"/>
    <w:rsid w:val="00F87B55"/>
    <w:rsid w:val="00F87EB9"/>
    <w:rsid w:val="00F87FA5"/>
    <w:rsid w:val="00F90687"/>
    <w:rsid w:val="00F91584"/>
    <w:rsid w:val="00F92BE3"/>
    <w:rsid w:val="00F92ED6"/>
    <w:rsid w:val="00F9345E"/>
    <w:rsid w:val="00F93D29"/>
    <w:rsid w:val="00F93ED3"/>
    <w:rsid w:val="00F94583"/>
    <w:rsid w:val="00F959E9"/>
    <w:rsid w:val="00F9657C"/>
    <w:rsid w:val="00F96649"/>
    <w:rsid w:val="00F9700A"/>
    <w:rsid w:val="00F979E0"/>
    <w:rsid w:val="00FA0033"/>
    <w:rsid w:val="00FA0D6F"/>
    <w:rsid w:val="00FA1B26"/>
    <w:rsid w:val="00FA1FF3"/>
    <w:rsid w:val="00FA2A53"/>
    <w:rsid w:val="00FA2E7B"/>
    <w:rsid w:val="00FA385E"/>
    <w:rsid w:val="00FA3FF2"/>
    <w:rsid w:val="00FA4280"/>
    <w:rsid w:val="00FA4500"/>
    <w:rsid w:val="00FA56D1"/>
    <w:rsid w:val="00FA56FC"/>
    <w:rsid w:val="00FA6926"/>
    <w:rsid w:val="00FA726F"/>
    <w:rsid w:val="00FA79BC"/>
    <w:rsid w:val="00FA7B50"/>
    <w:rsid w:val="00FA7ECA"/>
    <w:rsid w:val="00FB0292"/>
    <w:rsid w:val="00FB03A4"/>
    <w:rsid w:val="00FB1266"/>
    <w:rsid w:val="00FB144C"/>
    <w:rsid w:val="00FB1815"/>
    <w:rsid w:val="00FB274A"/>
    <w:rsid w:val="00FB2F37"/>
    <w:rsid w:val="00FB31AF"/>
    <w:rsid w:val="00FB342A"/>
    <w:rsid w:val="00FB3787"/>
    <w:rsid w:val="00FB399A"/>
    <w:rsid w:val="00FB52F7"/>
    <w:rsid w:val="00FB56B8"/>
    <w:rsid w:val="00FB5D98"/>
    <w:rsid w:val="00FB5F9C"/>
    <w:rsid w:val="00FB68EC"/>
    <w:rsid w:val="00FC2950"/>
    <w:rsid w:val="00FC3ABE"/>
    <w:rsid w:val="00FC3DAC"/>
    <w:rsid w:val="00FC49C3"/>
    <w:rsid w:val="00FC5B9F"/>
    <w:rsid w:val="00FC5C23"/>
    <w:rsid w:val="00FC6765"/>
    <w:rsid w:val="00FC6ABB"/>
    <w:rsid w:val="00FC7B29"/>
    <w:rsid w:val="00FD1F22"/>
    <w:rsid w:val="00FD26F4"/>
    <w:rsid w:val="00FD2832"/>
    <w:rsid w:val="00FD4AFE"/>
    <w:rsid w:val="00FD5AB1"/>
    <w:rsid w:val="00FD67F1"/>
    <w:rsid w:val="00FD6A9C"/>
    <w:rsid w:val="00FD6AFE"/>
    <w:rsid w:val="00FD6F5B"/>
    <w:rsid w:val="00FD6FBD"/>
    <w:rsid w:val="00FD76DC"/>
    <w:rsid w:val="00FE0E79"/>
    <w:rsid w:val="00FE10C5"/>
    <w:rsid w:val="00FE2140"/>
    <w:rsid w:val="00FE26FF"/>
    <w:rsid w:val="00FE279D"/>
    <w:rsid w:val="00FE3479"/>
    <w:rsid w:val="00FE348B"/>
    <w:rsid w:val="00FE34C8"/>
    <w:rsid w:val="00FE4023"/>
    <w:rsid w:val="00FE42AA"/>
    <w:rsid w:val="00FE4F89"/>
    <w:rsid w:val="00FE50F2"/>
    <w:rsid w:val="00FE67E1"/>
    <w:rsid w:val="00FE79D5"/>
    <w:rsid w:val="00FF023F"/>
    <w:rsid w:val="00FF0330"/>
    <w:rsid w:val="00FF132B"/>
    <w:rsid w:val="00FF1B7D"/>
    <w:rsid w:val="00FF26D4"/>
    <w:rsid w:val="00FF56F5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DBC2FF-1400-4E34-B49B-D48613DA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1D3D58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1D3D58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913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13F6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13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13F6F"/>
    <w:rPr>
      <w:sz w:val="18"/>
      <w:szCs w:val="18"/>
    </w:rPr>
  </w:style>
  <w:style w:type="character" w:styleId="a6">
    <w:name w:val="Hyperlink"/>
    <w:basedOn w:val="a0"/>
    <w:uiPriority w:val="99"/>
    <w:unhideWhenUsed/>
    <w:rsid w:val="00EC7AE7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305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63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CBF59-EE70-4141-8F66-27758B8C2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2065</TotalTime>
  <Pages>92</Pages>
  <Words>33391</Words>
  <Characters>190334</Characters>
  <Application>Microsoft Office Word</Application>
  <DocSecurity>0</DocSecurity>
  <Lines>1586</Lines>
  <Paragraphs>446</Paragraphs>
  <ScaleCrop>false</ScaleCrop>
  <Company/>
  <LinksUpToDate>false</LinksUpToDate>
  <CharactersWithSpaces>223279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bnds</dc:creator>
  <cp:keywords/>
  <dc:description/>
  <cp:lastModifiedBy>bnds</cp:lastModifiedBy>
  <cp:revision>394</cp:revision>
  <dcterms:created xsi:type="dcterms:W3CDTF">2025-10-11T03:52:00Z</dcterms:created>
  <dcterms:modified xsi:type="dcterms:W3CDTF">2026-07-28T01:13:00Z</dcterms:modified>
</cp:coreProperties>
</file>