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EA490B">
        <w:rPr>
          <w:rFonts w:ascii="宋体" w:eastAsia="宋体" w:hAnsi="宋体" w:cs="宋体"/>
          <w:b/>
          <w:sz w:val="28"/>
          <w:szCs w:val="28"/>
        </w:rPr>
        <w:t>2</w:t>
      </w:r>
      <w:r w:rsidR="00ED4543">
        <w:rPr>
          <w:rFonts w:ascii="宋体" w:eastAsia="宋体" w:hAnsi="宋体" w:cs="宋体"/>
          <w:b/>
          <w:sz w:val="28"/>
          <w:szCs w:val="28"/>
        </w:rPr>
        <w:t>7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503BEE">
        <w:rPr>
          <w:rFonts w:ascii="宋体" w:eastAsia="宋体" w:hAnsi="宋体" w:cs="宋体" w:hint="eastAsia"/>
          <w:b/>
          <w:sz w:val="28"/>
          <w:szCs w:val="28"/>
        </w:rPr>
        <w:t>2</w:t>
      </w:r>
      <w:r w:rsidR="00503BEE">
        <w:rPr>
          <w:rFonts w:ascii="宋体" w:eastAsia="宋体" w:hAnsi="宋体" w:cs="宋体"/>
          <w:b/>
          <w:sz w:val="28"/>
          <w:szCs w:val="28"/>
        </w:rPr>
        <w:t>9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F76D8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00F2C">
        <w:rPr>
          <w:rFonts w:ascii="宋体" w:eastAsia="宋体" w:hAnsi="宋体" w:cs="宋体"/>
          <w:b/>
          <w:color w:val="FF0000"/>
          <w:szCs w:val="24"/>
        </w:rPr>
        <w:t>6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ED4543">
        <w:rPr>
          <w:rFonts w:ascii="宋体" w:eastAsia="宋体" w:hAnsi="宋体" w:cs="宋体"/>
          <w:b/>
          <w:color w:val="FF0000"/>
          <w:szCs w:val="24"/>
        </w:rPr>
        <w:t>30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ED4543">
        <w:rPr>
          <w:rFonts w:ascii="宋体" w:eastAsia="宋体" w:hAnsi="宋体" w:cs="宋体"/>
          <w:b/>
          <w:color w:val="FF0000"/>
          <w:szCs w:val="24"/>
        </w:rPr>
        <w:t>7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ED4543">
        <w:rPr>
          <w:rFonts w:ascii="宋体" w:eastAsia="宋体" w:hAnsi="宋体" w:cs="宋体"/>
          <w:b/>
          <w:color w:val="FF0000"/>
          <w:szCs w:val="24"/>
        </w:rPr>
        <w:t>6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AD68DB" w:rsidRPr="00D11FA3" w:rsidRDefault="00503BEE" w:rsidP="00AD68DB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1</w:t>
      </w:r>
      <w:r w:rsidR="00AD68DB" w:rsidRPr="00D11FA3">
        <w:rPr>
          <w:rFonts w:hAnsi="宋体" w:cs="宋体"/>
          <w:b/>
          <w:color w:val="FF0000"/>
        </w:rPr>
        <w:t>. J Infect Dis. 2025 Jun 25:jiaf332. doi: 10.1093/infdis/jiaf332. Online ahead of print.</w:t>
      </w:r>
    </w:p>
    <w:p w:rsidR="00AD68DB" w:rsidRPr="00B91619" w:rsidRDefault="00AD68DB" w:rsidP="00AD68DB">
      <w:pPr>
        <w:pStyle w:val="a3"/>
        <w:rPr>
          <w:rFonts w:hAnsi="宋体" w:cs="宋体"/>
        </w:rPr>
      </w:pP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Safety and Diagnostic Performance of Recombinant Fusion Protein ESAT6-CPF10 Skin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Test in A Large Population: A Phase IV Clinical Trial.</w:t>
      </w:r>
    </w:p>
    <w:p w:rsidR="00AD68DB" w:rsidRPr="00B91619" w:rsidRDefault="00AD68DB" w:rsidP="00AD68DB">
      <w:pPr>
        <w:pStyle w:val="a3"/>
        <w:rPr>
          <w:rFonts w:hAnsi="宋体" w:cs="宋体"/>
        </w:rPr>
      </w:pP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Chen J(1), Zhao L(2), Zhou X(2), Mo Y(1), Kong L(2), Ma F(2), Wu L(3), Huang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D(4), Yang H(2), Gong L(2).</w:t>
      </w:r>
    </w:p>
    <w:p w:rsidR="00AD68DB" w:rsidRDefault="00AD68DB" w:rsidP="00AD68DB">
      <w:pPr>
        <w:pStyle w:val="a3"/>
        <w:rPr>
          <w:rFonts w:hAnsi="宋体" w:cs="宋体"/>
        </w:rPr>
      </w:pPr>
    </w:p>
    <w:p w:rsidR="00AD68DB" w:rsidRPr="008675CD" w:rsidRDefault="00AD68DB" w:rsidP="00AD68DB">
      <w:pPr>
        <w:pStyle w:val="a3"/>
        <w:rPr>
          <w:rFonts w:hAnsi="宋体" w:cs="宋体"/>
          <w:b/>
          <w:color w:val="0070C0"/>
        </w:rPr>
      </w:pPr>
      <w:r w:rsidRPr="008675CD">
        <w:rPr>
          <w:rFonts w:hAnsi="宋体" w:cs="宋体"/>
          <w:b/>
          <w:color w:val="0070C0"/>
        </w:rPr>
        <w:t>Junji Chen, Luqing Zhao, Xiang Zhou, Yi Mo, Lanting Kong, Fangli Ma, Liangyong Wu, Dingjin Huang, Huaiyu Yang</w:t>
      </w:r>
      <w:r w:rsidR="0075555E">
        <w:rPr>
          <w:rFonts w:hAnsi="宋体" w:cs="宋体" w:hint="eastAsia"/>
          <w:b/>
          <w:color w:val="0070C0"/>
        </w:rPr>
        <w:t>*</w:t>
      </w:r>
      <w:r w:rsidRPr="008675CD">
        <w:rPr>
          <w:rFonts w:hAnsi="宋体" w:cs="宋体"/>
          <w:b/>
          <w:color w:val="0070C0"/>
        </w:rPr>
        <w:t>, Lihui Gong</w:t>
      </w:r>
      <w:r w:rsidR="0075555E">
        <w:rPr>
          <w:rFonts w:hAnsi="宋体" w:cs="宋体" w:hint="eastAsia"/>
          <w:b/>
          <w:color w:val="0070C0"/>
        </w:rPr>
        <w:t>*</w:t>
      </w:r>
    </w:p>
    <w:p w:rsidR="00AD68DB" w:rsidRPr="008675CD" w:rsidRDefault="0075555E" w:rsidP="00AD68DB">
      <w:pPr>
        <w:pStyle w:val="a3"/>
        <w:rPr>
          <w:rFonts w:hAnsi="宋体" w:cs="宋体"/>
          <w:b/>
          <w:color w:val="0070C0"/>
        </w:rPr>
      </w:pPr>
      <w:r w:rsidRPr="0075555E">
        <w:rPr>
          <w:rFonts w:hAnsi="宋体" w:cs="宋体"/>
          <w:b/>
          <w:color w:val="0070C0"/>
        </w:rPr>
        <w:t>*Correspondence: Lihui Gong, (gonglihui@zhifeishengwu.com); Huaiyu Yang, (yanghuaiyu@zhifeishengwu.com).</w:t>
      </w:r>
    </w:p>
    <w:p w:rsidR="00AD68DB" w:rsidRDefault="00AD68DB" w:rsidP="00AD68DB">
      <w:pPr>
        <w:pStyle w:val="a3"/>
        <w:rPr>
          <w:rFonts w:hAnsi="宋体" w:cs="宋体"/>
        </w:rPr>
      </w:pP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Author information: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(1)Guangxi Zhuang Autonomous Region Center for Disease Control and Prevention,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Nanning, Guangxi Province, China.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(2)Anhui Zhifei Longcom Biopharmaceutical Co., Ltd, Hefei, Anhui Province,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China.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(3)Liuzhou Center for Disease Control and Prevention, Liuzhou, Guangxi Province,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China.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(4)Liujiang District Center for Disease Control and Prevention, Liuzhou, Guangxi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Province, China.</w:t>
      </w:r>
    </w:p>
    <w:p w:rsidR="00AD68DB" w:rsidRPr="00B91619" w:rsidRDefault="00AD68DB" w:rsidP="00AD68DB">
      <w:pPr>
        <w:pStyle w:val="a3"/>
        <w:rPr>
          <w:rFonts w:hAnsi="宋体" w:cs="宋体"/>
        </w:rPr>
      </w:pPr>
    </w:p>
    <w:p w:rsidR="00AD68DB" w:rsidRPr="00B91619" w:rsidRDefault="00AD68DB" w:rsidP="00AD68DB">
      <w:pPr>
        <w:pStyle w:val="a3"/>
        <w:rPr>
          <w:rFonts w:hAnsi="宋体" w:cs="宋体"/>
        </w:rPr>
      </w:pPr>
      <w:r w:rsidRPr="00D11FA3">
        <w:rPr>
          <w:rFonts w:hAnsi="宋体" w:cs="宋体"/>
          <w:b/>
        </w:rPr>
        <w:t xml:space="preserve">BACKGROUND: </w:t>
      </w:r>
      <w:r w:rsidRPr="00B91619">
        <w:rPr>
          <w:rFonts w:hAnsi="宋体" w:cs="宋体"/>
        </w:rPr>
        <w:t xml:space="preserve">This study aimed to evaluate the safety and diagnostic performance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of recombinant fusion protein ESAT6-CPF10 (EC) in a community-based population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 w:hint="eastAsia"/>
        </w:rPr>
        <w:t>aged ≥6 months.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D11FA3">
        <w:rPr>
          <w:rFonts w:hAnsi="宋体" w:cs="宋体"/>
          <w:b/>
        </w:rPr>
        <w:t>METHODS:</w:t>
      </w:r>
      <w:r w:rsidRPr="00B91619">
        <w:rPr>
          <w:rFonts w:hAnsi="宋体" w:cs="宋体"/>
        </w:rPr>
        <w:t xml:space="preserve"> We conducted a two-stage trial in a community-based population. The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first stage used a randomized, double-blind, controlled design (n=500), while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the second stage used a non-randomized, open design (n=7000). Stage 1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participants underwent tuberculosis-specific enzyme-linked immunospot assay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(T-SPOT.TB), tuberculin skin test (TST) and EC skin test (ECST). Stage 2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participants only received the ECST. The purposes of the first and second stage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were to evaluate the diagnostic performance and safety of the ECST,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lastRenderedPageBreak/>
        <w:t>respectively.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D11FA3">
        <w:rPr>
          <w:rFonts w:hAnsi="宋体" w:cs="宋体"/>
          <w:b/>
        </w:rPr>
        <w:t xml:space="preserve">RESULTS: </w:t>
      </w:r>
      <w:r w:rsidRPr="00B91619">
        <w:rPr>
          <w:rFonts w:hAnsi="宋体" w:cs="宋体"/>
        </w:rPr>
        <w:t xml:space="preserve">At the first stage, the sensitivity of ECST and TST was 89.41% (95% CI: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80.85-95.04) and 85.88% (95% CI: 76.64-92.49), respectively. The specificity of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the ECST and TST was 96.98% (95% CI: 94.79-98.43%) and 61.06% (95% CI: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56.07-65.87%), respectively. The consistency between ECST and T-SPOT.TB was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higher than that between TST and T-SPOT.TB (Kappa=0.85 and 0.28, respectively).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At the second stage, the incidence of adverse drug reactions (ADRs) was 11.75%,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 w:hint="eastAsia"/>
        </w:rPr>
        <w:t xml:space="preserve">with 0.67% graded ≥3. The incidence of ADRs varied among age groups (&lt;18 years: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 w:hint="eastAsia"/>
        </w:rPr>
        <w:t xml:space="preserve">2.89%, 18-64 years: 11.51%, ≥65 years: 16.98%) and was significantly higher in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individuals with pulmonary tuberculosis (TB) (46.58%), HIV infection (33.33%),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diabetes mellitus (15.56%), close contacts of TB patients (14.35%), and those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with allergic histories (11.93%).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D11FA3">
        <w:rPr>
          <w:rFonts w:hAnsi="宋体" w:cs="宋体"/>
          <w:b/>
        </w:rPr>
        <w:t>CONCLUSIONS:</w:t>
      </w:r>
      <w:r w:rsidRPr="00B91619">
        <w:rPr>
          <w:rFonts w:hAnsi="宋体" w:cs="宋体"/>
        </w:rPr>
        <w:t xml:space="preserve"> EC has a satisfactory safety and diagnostic performance profile,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and it is suitable for screening Mycobacterium tuberculosis (MTB) infection in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 w:hint="eastAsia"/>
        </w:rPr>
        <w:t>the community-based population aged ≥6 months.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CLINICAL TRIALS REGISTRATION: NCT05746611.</w:t>
      </w:r>
    </w:p>
    <w:p w:rsidR="00AD68DB" w:rsidRPr="00B91619" w:rsidRDefault="00AD68DB" w:rsidP="00AD68DB">
      <w:pPr>
        <w:pStyle w:val="a3"/>
        <w:rPr>
          <w:rFonts w:hAnsi="宋体" w:cs="宋体"/>
        </w:rPr>
      </w:pP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 w:hint="eastAsia"/>
        </w:rPr>
        <w:t>©</w:t>
      </w:r>
      <w:r w:rsidRPr="00B91619">
        <w:rPr>
          <w:rFonts w:hAnsi="宋体" w:cs="宋体"/>
        </w:rPr>
        <w:t xml:space="preserve"> The Author(s) 2025. Published by Oxford University Press on behalf of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Infectious Diseases Society of America. All rights reserved. For commercial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re-use, please contact reprints@oup.com for reprints and translation rights for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reprints. All other permissions can be obtained through our RightsLink service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via the Permissions link on the article page on our site—for further information 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please contact journals.permissions@oup.com.</w:t>
      </w:r>
    </w:p>
    <w:p w:rsidR="00AD68DB" w:rsidRPr="00B91619" w:rsidRDefault="00AD68DB" w:rsidP="00AD68DB">
      <w:pPr>
        <w:pStyle w:val="a3"/>
        <w:rPr>
          <w:rFonts w:hAnsi="宋体" w:cs="宋体"/>
        </w:rPr>
      </w:pP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DOI: 10.1093/infdis/jiaf332</w:t>
      </w:r>
    </w:p>
    <w:p w:rsidR="00AD68DB" w:rsidRPr="00B91619" w:rsidRDefault="00AD68DB" w:rsidP="00AD68DB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PMID: 40560769</w:t>
      </w:r>
    </w:p>
    <w:p w:rsidR="00AD68DB" w:rsidRPr="00B91619" w:rsidRDefault="00AD68DB" w:rsidP="00AD68DB">
      <w:pPr>
        <w:pStyle w:val="a3"/>
        <w:rPr>
          <w:rFonts w:hAnsi="宋体" w:cs="宋体"/>
        </w:rPr>
      </w:pPr>
    </w:p>
    <w:p w:rsidR="00645391" w:rsidRPr="00006B5E" w:rsidRDefault="00503BEE" w:rsidP="00645391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</w:t>
      </w:r>
      <w:r w:rsidR="00645391" w:rsidRPr="00006B5E">
        <w:rPr>
          <w:rFonts w:hAnsi="宋体" w:cs="宋体"/>
          <w:b/>
          <w:color w:val="FF0000"/>
        </w:rPr>
        <w:t xml:space="preserve">. Diagn Microbiol Infect Dis. 2025 Jun 3;113(3):116932. doi: </w:t>
      </w:r>
    </w:p>
    <w:p w:rsidR="00645391" w:rsidRPr="00006B5E" w:rsidRDefault="00645391" w:rsidP="00645391">
      <w:pPr>
        <w:pStyle w:val="a3"/>
        <w:rPr>
          <w:rFonts w:hAnsi="宋体" w:cs="宋体"/>
          <w:b/>
          <w:color w:val="FF0000"/>
        </w:rPr>
      </w:pPr>
      <w:r w:rsidRPr="00006B5E">
        <w:rPr>
          <w:rFonts w:hAnsi="宋体" w:cs="宋体"/>
          <w:b/>
          <w:color w:val="FF0000"/>
        </w:rPr>
        <w:t>10.1016/j.diagmicrobio.2025.116932. Online ahead of print.</w:t>
      </w:r>
    </w:p>
    <w:p w:rsidR="00645391" w:rsidRPr="0065417B" w:rsidRDefault="00645391" w:rsidP="00645391">
      <w:pPr>
        <w:pStyle w:val="a3"/>
        <w:rPr>
          <w:rFonts w:hAnsi="宋体" w:cs="宋体"/>
        </w:rPr>
      </w:pP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Clinical indicators associated with tuberculous meningitis using multiple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correspondence analysis.</w:t>
      </w:r>
    </w:p>
    <w:p w:rsidR="00645391" w:rsidRPr="0065417B" w:rsidRDefault="00645391" w:rsidP="00645391">
      <w:pPr>
        <w:pStyle w:val="a3"/>
        <w:rPr>
          <w:rFonts w:hAnsi="宋体" w:cs="宋体"/>
        </w:rPr>
      </w:pP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Zhu X(1), Li R(2), Zhang X(2), Wang D(2), Wang Y(2), Lin W(2), Zhang S(3), Chu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M(4), Wei L(5).</w:t>
      </w:r>
    </w:p>
    <w:p w:rsidR="00645391" w:rsidRDefault="00645391" w:rsidP="00645391">
      <w:pPr>
        <w:pStyle w:val="a3"/>
        <w:rPr>
          <w:rFonts w:hAnsi="宋体" w:cs="宋体"/>
        </w:rPr>
      </w:pPr>
    </w:p>
    <w:p w:rsidR="00645391" w:rsidRPr="001C1881" w:rsidRDefault="00645391" w:rsidP="00645391">
      <w:pPr>
        <w:pStyle w:val="a3"/>
        <w:rPr>
          <w:rFonts w:hAnsi="宋体" w:cs="宋体"/>
          <w:b/>
          <w:color w:val="0070C0"/>
        </w:rPr>
      </w:pPr>
      <w:r w:rsidRPr="001C1881">
        <w:rPr>
          <w:rFonts w:hAnsi="宋体" w:cs="宋体"/>
          <w:b/>
          <w:color w:val="0070C0"/>
        </w:rPr>
        <w:t>Xujie Zhu, Rui Li, Xiaoxin Zhang, Dian Wang, Yijie Wang, Wenxin Lin, Shengkun Zhang, Ming Chu</w:t>
      </w:r>
      <w:r w:rsidR="00BE268C">
        <w:rPr>
          <w:rFonts w:hAnsi="宋体" w:cs="宋体" w:hint="eastAsia"/>
          <w:b/>
          <w:color w:val="0070C0"/>
        </w:rPr>
        <w:t>*</w:t>
      </w:r>
      <w:r w:rsidRPr="001C1881">
        <w:rPr>
          <w:rFonts w:hAnsi="宋体" w:cs="宋体"/>
          <w:b/>
          <w:color w:val="0070C0"/>
        </w:rPr>
        <w:t>, Lanlan Wei</w:t>
      </w:r>
      <w:r w:rsidR="00BE268C">
        <w:rPr>
          <w:rFonts w:hAnsi="宋体" w:cs="宋体" w:hint="eastAsia"/>
          <w:b/>
          <w:color w:val="0070C0"/>
        </w:rPr>
        <w:t>*</w:t>
      </w:r>
    </w:p>
    <w:p w:rsidR="00BE268C" w:rsidRPr="00BE268C" w:rsidRDefault="00BE268C" w:rsidP="00BE268C">
      <w:pPr>
        <w:pStyle w:val="a3"/>
        <w:jc w:val="left"/>
        <w:rPr>
          <w:rFonts w:hAnsi="宋体" w:cs="宋体"/>
          <w:b/>
          <w:color w:val="0070C0"/>
        </w:rPr>
      </w:pPr>
      <w:r w:rsidRPr="00BE268C">
        <w:rPr>
          <w:rFonts w:hAnsi="宋体" w:cs="宋体"/>
          <w:b/>
          <w:color w:val="0070C0"/>
        </w:rPr>
        <w:t>*Correspondence: Ming Chu, (chuming120@163.com); Lanlan Wei, (weilanlan_1119@163.com).</w:t>
      </w:r>
    </w:p>
    <w:p w:rsidR="00645391" w:rsidRPr="00BE268C" w:rsidRDefault="00645391" w:rsidP="00645391">
      <w:pPr>
        <w:pStyle w:val="a3"/>
        <w:rPr>
          <w:rFonts w:hAnsi="宋体" w:cs="宋体"/>
        </w:rPr>
      </w:pPr>
    </w:p>
    <w:p w:rsidR="00645391" w:rsidRPr="0065417B" w:rsidRDefault="00645391" w:rsidP="00645391">
      <w:pPr>
        <w:pStyle w:val="a3"/>
        <w:rPr>
          <w:rFonts w:hAnsi="宋体" w:cs="宋体"/>
        </w:rPr>
      </w:pPr>
      <w:bookmarkStart w:id="0" w:name="_GoBack"/>
      <w:bookmarkEnd w:id="0"/>
      <w:r w:rsidRPr="0065417B">
        <w:rPr>
          <w:rFonts w:hAnsi="宋体" w:cs="宋体"/>
        </w:rPr>
        <w:t>Author information: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(1)Central lab (Genetics lab), Longgang District Maternity &amp; Child Healthcare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Hospital of Shenzhen City (Longgang Maternity and Child Institute of Shantou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lastRenderedPageBreak/>
        <w:t>University Medical College), Shenzhen 518172, PR China.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(2)School of Medicine, Southern University of Science and Technology, Shenzhen,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Guangdong, China.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(3)Department of Neurosurgery, Shenzhen Third People's Hospital / Second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Affiliated Hospital, Southern University of Science and Technology, Shenzhen,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Guangdong, China.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(4)Department of Neurosurgery, Shenzhen Third People's Hospital / Second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Affiliated Hospital, Southern University of Science and Technology, Shenzhen,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Guangdong, China. Electronic address: chuming120@163.com.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(5)Institute of Hepatology, Shenzhen Third People's Hospital / Second Affiliated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Hospital, Southern University of Science and Technology, Shenzhen, Guangdong,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China. Electronic address: weilanlan_1119@163.com.</w:t>
      </w:r>
    </w:p>
    <w:p w:rsidR="00645391" w:rsidRPr="0065417B" w:rsidRDefault="00645391" w:rsidP="00645391">
      <w:pPr>
        <w:pStyle w:val="a3"/>
        <w:rPr>
          <w:rFonts w:hAnsi="宋体" w:cs="宋体"/>
        </w:rPr>
      </w:pPr>
    </w:p>
    <w:p w:rsidR="00645391" w:rsidRPr="0065417B" w:rsidRDefault="00645391" w:rsidP="00645391">
      <w:pPr>
        <w:pStyle w:val="a3"/>
        <w:rPr>
          <w:rFonts w:hAnsi="宋体" w:cs="宋体"/>
        </w:rPr>
      </w:pPr>
      <w:r w:rsidRPr="00006B5E">
        <w:rPr>
          <w:rFonts w:hAnsi="宋体" w:cs="宋体"/>
          <w:b/>
        </w:rPr>
        <w:t xml:space="preserve">OBJECTIVES: </w:t>
      </w:r>
      <w:r w:rsidRPr="0065417B">
        <w:rPr>
          <w:rFonts w:hAnsi="宋体" w:cs="宋体"/>
        </w:rPr>
        <w:t xml:space="preserve">Tuberculous meningitis (TBM), the most severe extrapulmonary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manifestation of Mycobacterium tuberculosis (Mtb) infection, contributes to 5-10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% of global tuberculosis-related mortality. This study aimed to delineate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clinical indicators predictive of microbiologically confirmed TBM to facilitate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early diagnosis in resource-limited settings.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006B5E">
        <w:rPr>
          <w:rFonts w:hAnsi="宋体" w:cs="宋体"/>
          <w:b/>
        </w:rPr>
        <w:t xml:space="preserve">METHODS: </w:t>
      </w:r>
      <w:r w:rsidRPr="0065417B">
        <w:rPr>
          <w:rFonts w:hAnsi="宋体" w:cs="宋体"/>
        </w:rPr>
        <w:t xml:space="preserve">A retrospective cohort analysis was conducted on 146 TBM cases admitted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to Shenzhen Third People's Hospital (2018-2020), undergoing cerebrospinal fluid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(CSF) culture and Xpert. Epidemiologic profiles and clinical outcomes were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systematically characterized. Multiple correspondence analysis (MCA) adjusted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for potential confounders was employed to identify clinical indicators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associated with microbiologically confirmed TBM.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006B5E">
        <w:rPr>
          <w:rFonts w:hAnsi="宋体" w:cs="宋体"/>
          <w:b/>
        </w:rPr>
        <w:t>RESULTS:</w:t>
      </w:r>
      <w:r w:rsidRPr="0065417B">
        <w:rPr>
          <w:rFonts w:hAnsi="宋体" w:cs="宋体"/>
        </w:rPr>
        <w:t xml:space="preserve"> Among 146 patients with defined or probable TBM, 80 cases were detected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for Mtb in CSF, with undetected in 66 cases. The increase in CSF white cell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count was more significant than that in blood. Serum sodium, serum chloride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(Cl), CSF glucose, CSF Cl, and CSF to blood glucose ratio in microbiologically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confirmed TBM were significantly lower than those in unconfirmed TBM, in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addition to having worse nutrition and lower blood lymphocytes. MCA identified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diagnostic indicators related to microbiologically confirmed TBM included neck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stiffness, decreased blood lymphocyte counts and serum sodium, elevated CSF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white cell count, decreased CSF glucose and Cl levels, HIV positivity, severe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pulmonary infection, and malnutrition. However, Hypertension and pulmonary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tuberculosis were associated with microbiologically unconfirmed TBM.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006B5E">
        <w:rPr>
          <w:rFonts w:hAnsi="宋体" w:cs="宋体"/>
          <w:b/>
        </w:rPr>
        <w:t xml:space="preserve">CONCLUSIONS: </w:t>
      </w:r>
      <w:r w:rsidRPr="0065417B">
        <w:rPr>
          <w:rFonts w:hAnsi="宋体" w:cs="宋体"/>
        </w:rPr>
        <w:t xml:space="preserve">The clinical indicators identified in this study may assist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clinicians in high-tuberculosis-incidence-areas, particularly in regions with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limited capacity for CSF microbial culture, to empirically diagnose TBM. When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these indicators are abnormal, they may increase the likelihood of detecting 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microbial evidence in CSF.</w:t>
      </w:r>
    </w:p>
    <w:p w:rsidR="00645391" w:rsidRPr="0065417B" w:rsidRDefault="00645391" w:rsidP="00645391">
      <w:pPr>
        <w:pStyle w:val="a3"/>
        <w:rPr>
          <w:rFonts w:hAnsi="宋体" w:cs="宋体"/>
        </w:rPr>
      </w:pP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Copyright © 2025 Elsevier Inc. All rights reserved.</w:t>
      </w:r>
    </w:p>
    <w:p w:rsidR="00645391" w:rsidRPr="0065417B" w:rsidRDefault="00645391" w:rsidP="00645391">
      <w:pPr>
        <w:pStyle w:val="a3"/>
        <w:rPr>
          <w:rFonts w:hAnsi="宋体" w:cs="宋体"/>
        </w:rPr>
      </w:pP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DOI: 10.1016/j.diagmicrobio.2025.116932</w:t>
      </w:r>
    </w:p>
    <w:p w:rsidR="00645391" w:rsidRPr="0065417B" w:rsidRDefault="00645391" w:rsidP="00645391">
      <w:pPr>
        <w:pStyle w:val="a3"/>
        <w:rPr>
          <w:rFonts w:hAnsi="宋体" w:cs="宋体"/>
        </w:rPr>
      </w:pPr>
      <w:r w:rsidRPr="0065417B">
        <w:rPr>
          <w:rFonts w:hAnsi="宋体" w:cs="宋体"/>
        </w:rPr>
        <w:lastRenderedPageBreak/>
        <w:t>PMID: 40561850</w:t>
      </w:r>
    </w:p>
    <w:p w:rsidR="00645391" w:rsidRPr="0065417B" w:rsidRDefault="00645391" w:rsidP="00645391">
      <w:pPr>
        <w:pStyle w:val="a3"/>
        <w:rPr>
          <w:rFonts w:hAnsi="宋体" w:cs="宋体"/>
        </w:rPr>
      </w:pPr>
    </w:p>
    <w:p w:rsidR="00EE006A" w:rsidRPr="00714BD5" w:rsidRDefault="00EE006A" w:rsidP="00EE006A">
      <w:pPr>
        <w:rPr>
          <w:rFonts w:ascii="宋体" w:eastAsia="宋体" w:hAnsi="宋体" w:cs="宋体"/>
          <w:b/>
          <w:color w:val="FF0000"/>
          <w:szCs w:val="21"/>
        </w:rPr>
      </w:pPr>
      <w:r w:rsidRPr="00714BD5">
        <w:rPr>
          <w:rFonts w:ascii="宋体" w:eastAsia="宋体" w:hAnsi="宋体" w:cs="宋体"/>
          <w:b/>
          <w:color w:val="FF0000"/>
          <w:szCs w:val="21"/>
        </w:rPr>
        <w:t>3. Biomol Biomed. 2025 Jul 2. doi: 10.17305/bb.2025.12527. Online ahead of print.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Vitamin D supplementation for tuberculosis prevention: A meta-analysis.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Liu S(1), Lin T(1), Pan Y(1).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7C6C34" w:rsidRPr="007C6C34" w:rsidRDefault="007C6C34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7C6C34">
        <w:rPr>
          <w:rFonts w:ascii="宋体" w:eastAsia="宋体" w:hAnsi="宋体" w:cs="宋体"/>
          <w:b/>
          <w:color w:val="0070C0"/>
          <w:szCs w:val="21"/>
        </w:rPr>
        <w:t>Sheng Liu, Tianyu Lin, Yanyu Pan</w:t>
      </w:r>
    </w:p>
    <w:p w:rsidR="007C6C34" w:rsidRPr="007C6C34" w:rsidRDefault="007C6C34" w:rsidP="007C6C34">
      <w:pPr>
        <w:rPr>
          <w:rFonts w:ascii="宋体" w:eastAsia="宋体" w:hAnsi="宋体" w:cs="宋体"/>
          <w:b/>
          <w:color w:val="0070C0"/>
          <w:szCs w:val="21"/>
        </w:rPr>
      </w:pPr>
      <w:r w:rsidRPr="007C6C34">
        <w:rPr>
          <w:rFonts w:ascii="宋体" w:eastAsia="宋体" w:hAnsi="宋体" w:cs="宋体"/>
          <w:b/>
          <w:color w:val="0070C0"/>
          <w:szCs w:val="21"/>
        </w:rPr>
        <w:t>*Correspondence to Yanyu Pan: yanyupan_900h@hotmail.com</w:t>
      </w:r>
    </w:p>
    <w:p w:rsidR="007C6C34" w:rsidRPr="007C6C34" w:rsidRDefault="007C6C34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(1)The Second Department of Infection, 900th Hospital of PLA Joint Logistic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Support Force, Fuzhou, Fujian Province,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Vitamin D plays an important role in immune regulation, prompting interest in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its potential for preventing tuberculosis. However, clinical findings regarding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its protective effects against tuberculosis infection and disease remain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inconsistent. We conducted a systematic review and meta-analysis of randomized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controlled trials (RCTs) to assess the impact of vitamin D supplementation 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prevention of tuberculosis infection and the progression to active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tuberculosis. We searched PubMed, Embase, Cochrane Library, and Web of Science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databases through January 2025. Eligible studies involved participants without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active tuberculosis at baseline and reported outcomes related to tuberculosis.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Pooled odds ratios (ORs) and 95% confidence intervals (CIs) were calculated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using a random-effects model. Subgroup and sensitivity analyses were conducted,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the certainty of evidence was evaluated using the GRADE approach. Six RCTs,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involving 15,677 participants, met our inclusion criteria. Compared to placebo,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vitamin D supplementation did not significantly reduce the risk of tuberculosis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infection (5 RCTs; OR: 0.95; 95% CI: 0.79-1.14; p = 0.55) or the development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active tuberculosis (4 RCTs; OR: 0.77; 95% CI: 0.56-1.05; p = 0.10).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certainty of evidence was moderate for both outcomes. Subgroup analyses based 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baseline vitamin D levels and duration of follow-up yielded consistent results.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incidence of serious adverse events was comparable between the vitamin D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placebo groups (OR: 1.02; 95% CI: 0.76-1.38; p = 0.87), and none of the serious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events were attributed to vitamin D supplementation. In conclusion, vitamin 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supplementation does not significantly reduce the risk of tuberculosis infection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or progression to active tuberculosis, although it is safe and well tolerated.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10.17305/bb.2025.12527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40613553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714BD5" w:rsidRDefault="00503BEE" w:rsidP="00EE006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</w:t>
      </w:r>
      <w:r w:rsidR="00EE006A" w:rsidRPr="00714BD5">
        <w:rPr>
          <w:rFonts w:ascii="宋体" w:eastAsia="宋体" w:hAnsi="宋体" w:cs="宋体"/>
          <w:b/>
          <w:color w:val="FF0000"/>
          <w:szCs w:val="21"/>
        </w:rPr>
        <w:t>. Eur J Med Res. 2025 Jul 3;30(1):566. doi: 10.1186/s40001-025-02835-6.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Plasma lipidomic analysis reveals distinct lipid alterations in patients with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pulmonary tuberculosis.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Zhang C(#)(1), Cai M(#)(2), Cai H(3), Chen X(4)(5).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7009EE" w:rsidRPr="007009EE" w:rsidRDefault="007009EE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7009EE">
        <w:rPr>
          <w:rFonts w:ascii="宋体" w:eastAsia="宋体" w:hAnsi="宋体" w:cs="宋体"/>
          <w:b/>
          <w:color w:val="0070C0"/>
          <w:szCs w:val="21"/>
        </w:rPr>
        <w:t>Chunfa Zhang, Mingya Cai, Huangjie Cai, Xiaoyang Chen</w:t>
      </w:r>
      <w:r w:rsidRPr="007009E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7009EE" w:rsidRPr="007009EE" w:rsidRDefault="007009EE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7009EE">
        <w:rPr>
          <w:rFonts w:ascii="宋体" w:eastAsia="宋体" w:hAnsi="宋体" w:cs="宋体"/>
          <w:b/>
          <w:color w:val="0070C0"/>
          <w:szCs w:val="21"/>
        </w:rPr>
        <w:t>*Correspondence: Xiaoyang Chen</w:t>
      </w:r>
      <w:r w:rsidRPr="007009EE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7009EE">
        <w:rPr>
          <w:rFonts w:ascii="宋体" w:eastAsia="宋体" w:hAnsi="宋体" w:cs="宋体"/>
          <w:b/>
          <w:color w:val="0070C0"/>
          <w:szCs w:val="21"/>
        </w:rPr>
        <w:t>ccxxyy008@fjmu.edu.cn</w:t>
      </w:r>
    </w:p>
    <w:p w:rsidR="007009EE" w:rsidRPr="002E3956" w:rsidRDefault="007009EE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Respiratory and Critical Care Medicine, Jinjiang Municipal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Hospital (Shanghai Sixth People's Hospital Fujian), Quanzhou, Fujian,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Medical Laboratory, Jinjiang Municipal Hospital (Shanghai Sixth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People's Hospital Fujian), Quanzhou, Fujian,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Infection, Jinjiang Municipal Hospital (Shanghai Sixth People's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Hospital Fujian), Quanzhou, Fujian,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Respiratory and Critical Care Medicine, Jinjiang Municipal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Hospital (Shanghai Sixth People's Hospital Fujian), Quanzhou, Fujian, China.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ccxxyy008@fjmu.edu.cn.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(5)Department of Respiratory and Critical Care Medicine, The Second Affiliated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Hospital of Fujian Medical University, Quanzhou, Fujian, China.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ccxxyy008@fjmu.edu.cn.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 xml:space="preserve">OBJECTIVE: </w:t>
      </w:r>
      <w:r w:rsidRPr="002E3956">
        <w:rPr>
          <w:rFonts w:ascii="宋体" w:eastAsia="宋体" w:hAnsi="宋体" w:cs="宋体"/>
          <w:szCs w:val="21"/>
        </w:rPr>
        <w:t xml:space="preserve">This study aimed to characterize the plasma lipidomic profile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with pulmonary tuberculosis (PTB), identify lipid species with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potential diagnostic utility, and explore their associations with clinical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parameters to inform future biomarker development and mechanistic understanding.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In a case-control study, 50 newly diagnosed PTB patients and 50 age-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sex-matched healthy controls (HC) were enrolled between April and June 2021.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Plasma samples were analyzed using LC-MS/MS-based lipidomics. Multivariate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modeling and univariate statistical analyses were performed to identify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differential lipid species. Receiver-operating characteristic (ROC) curves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evaluated diagnostic performance, and correlation analyses assessed associations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with clinical indicators.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A total of 633 lipid species were profiled, with 61 showing significant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differential expression between PTB and HC groups. When compared with controls,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PTB patients exhibited significantly lower plasma levels of total cholesterol,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triglycerides, HDL, and LDL (all 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0.05), as well as reduced triacylglycerol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(TAG), ceramide (CER), and hexosylceramide (HCER). In contrast,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phosphatidylethanolamine (PE) and phosphatidylcholine (PC) levels were elevated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 PTB. ROC analysis identified several lipid species-particularly CER(24:0) H,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HCER(d18:0/22:0) H, and PE(18:1/18:1)-with strong discriminative power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(AUC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&gt;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0.75). Correlation analysis revealed weak-to-moderate associations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select lipids with age and glucose, but minimal or no correlation with BMI, sex,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or smoking, indicating that lipidomic alterations are primarily disease-driven.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PTB patients display a distinct plasma lipidomic signature, marked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by disrupted glycerolipid and sphingolipid metabolism. These findings support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diagnostic value of lipidomic profiling and provide insights into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PTB-associated metabolic disturbances, laying a foundation for future biomarker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validation and therapeutic exploration.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2025. The Author(s).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10.1186/s40001-025-02835-6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PMC12225086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40611333 [Indexed for MEDLINE]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714BD5" w:rsidRDefault="00503BEE" w:rsidP="00EE006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</w:t>
      </w:r>
      <w:r w:rsidR="00EE006A" w:rsidRPr="00714BD5">
        <w:rPr>
          <w:rFonts w:ascii="宋体" w:eastAsia="宋体" w:hAnsi="宋体" w:cs="宋体"/>
          <w:b/>
          <w:color w:val="FF0000"/>
          <w:szCs w:val="21"/>
        </w:rPr>
        <w:t>. BMC Pulm Med. 2025 Jul 3;25(1):312. doi: 10.1186/s12890-025-03785-9.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Association of dietary caffeine intake and metabolites in the urine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individuals with latent tuberculosis infection: a cross-sectional study.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Li Y(#)(1), Chen J(#)(2), Shan QQ(3)(4), Dong S(1)(5), Hu F(1), Ma X(1), Zhang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Y(1), Jiang B(1).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1670B3" w:rsidRPr="00681589" w:rsidRDefault="001670B3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681589">
        <w:rPr>
          <w:rFonts w:ascii="宋体" w:eastAsia="宋体" w:hAnsi="宋体" w:cs="宋体"/>
          <w:b/>
          <w:color w:val="0070C0"/>
          <w:szCs w:val="21"/>
        </w:rPr>
        <w:t>Yangke Li,</w:t>
      </w:r>
      <w:r w:rsidR="0068158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81589">
        <w:rPr>
          <w:rFonts w:ascii="宋体" w:eastAsia="宋体" w:hAnsi="宋体" w:cs="宋体"/>
          <w:b/>
          <w:color w:val="0070C0"/>
          <w:szCs w:val="21"/>
        </w:rPr>
        <w:t>Jinyu Chen,</w:t>
      </w:r>
      <w:r w:rsidR="00681589" w:rsidRPr="0068158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81589">
        <w:rPr>
          <w:rFonts w:ascii="宋体" w:eastAsia="宋体" w:hAnsi="宋体" w:cs="宋体"/>
          <w:b/>
          <w:color w:val="0070C0"/>
          <w:szCs w:val="21"/>
        </w:rPr>
        <w:t>Qing-Qing Shan</w:t>
      </w:r>
      <w:r w:rsidR="00681589" w:rsidRPr="0068158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81589">
        <w:rPr>
          <w:rFonts w:ascii="宋体" w:eastAsia="宋体" w:hAnsi="宋体" w:cs="宋体"/>
          <w:b/>
          <w:color w:val="0070C0"/>
          <w:szCs w:val="21"/>
        </w:rPr>
        <w:t>,</w:t>
      </w:r>
      <w:r w:rsidR="00681589" w:rsidRPr="0068158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81589">
        <w:rPr>
          <w:rFonts w:ascii="宋体" w:eastAsia="宋体" w:hAnsi="宋体" w:cs="宋体"/>
          <w:b/>
          <w:color w:val="0070C0"/>
          <w:szCs w:val="21"/>
        </w:rPr>
        <w:t>Shoujin Dong,</w:t>
      </w:r>
      <w:r w:rsidR="00681589" w:rsidRPr="0068158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81589">
        <w:rPr>
          <w:rFonts w:ascii="宋体" w:eastAsia="宋体" w:hAnsi="宋体" w:cs="宋体"/>
          <w:b/>
          <w:color w:val="0070C0"/>
          <w:szCs w:val="21"/>
        </w:rPr>
        <w:t>Fengying Hu,</w:t>
      </w:r>
      <w:r w:rsidR="00681589" w:rsidRPr="0068158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81589">
        <w:rPr>
          <w:rFonts w:ascii="宋体" w:eastAsia="宋体" w:hAnsi="宋体" w:cs="宋体"/>
          <w:b/>
          <w:color w:val="0070C0"/>
          <w:szCs w:val="21"/>
        </w:rPr>
        <w:t>Xiang Ma,</w:t>
      </w:r>
      <w:r w:rsidR="00681589" w:rsidRPr="0068158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81589">
        <w:rPr>
          <w:rFonts w:ascii="宋体" w:eastAsia="宋体" w:hAnsi="宋体" w:cs="宋体"/>
          <w:b/>
          <w:color w:val="0070C0"/>
          <w:szCs w:val="21"/>
        </w:rPr>
        <w:t>Yifan Zhang,</w:t>
      </w:r>
      <w:r w:rsidR="00681589" w:rsidRPr="0068158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81589">
        <w:rPr>
          <w:rFonts w:ascii="宋体" w:eastAsia="宋体" w:hAnsi="宋体" w:cs="宋体"/>
          <w:b/>
          <w:color w:val="0070C0"/>
          <w:szCs w:val="21"/>
        </w:rPr>
        <w:t>Bo Jiang</w:t>
      </w:r>
    </w:p>
    <w:p w:rsidR="001670B3" w:rsidRPr="00681589" w:rsidRDefault="001670B3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681589">
        <w:rPr>
          <w:rFonts w:ascii="宋体" w:eastAsia="宋体" w:hAnsi="宋体" w:cs="宋体"/>
          <w:b/>
          <w:color w:val="0070C0"/>
          <w:szCs w:val="21"/>
        </w:rPr>
        <w:t>*Correspondence: Qing-qing Shan</w:t>
      </w:r>
      <w:r w:rsidRPr="0068158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81589">
        <w:rPr>
          <w:rFonts w:ascii="宋体" w:eastAsia="宋体" w:hAnsi="宋体" w:cs="宋体"/>
          <w:b/>
          <w:color w:val="0070C0"/>
          <w:szCs w:val="21"/>
        </w:rPr>
        <w:t>shanqingqing52377@126.com</w:t>
      </w:r>
    </w:p>
    <w:p w:rsidR="001670B3" w:rsidRDefault="001670B3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Respiration, Chengdu Integrated TCM &amp; Western Medicine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Hospital, No.18, Wangxiang North Road, High-Tech Zone, Sichuan Province, 610095,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Chengdu,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(2)Public Health Clinical Center of Chengdu, Chengdu, 610066,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Respiration, Chengdu Integrated TCM &amp; Western Medicine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Hospital, No.18, Wangxiang North Road, High-Tech Zone, Sichuan Province, 610095,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Chengdu, China. shanqingqing52377@126.com.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(4)Institute of Integrative Medicine/Chengdu First People's Hospital, Chengdu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 of TCM, Chengdu, 610095, China. shanqingqing52377@126.com.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(5)Institute of Integrative Medicine/Chengdu First People's Hospital, Chengdu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 of TCM, Chengdu, 610095,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>BACKGROUND:</w:t>
      </w:r>
      <w:r w:rsidRPr="002E3956">
        <w:rPr>
          <w:rFonts w:ascii="宋体" w:eastAsia="宋体" w:hAnsi="宋体" w:cs="宋体"/>
          <w:szCs w:val="21"/>
        </w:rPr>
        <w:t xml:space="preserve"> Currently, there is insufficient evidence available regarding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association between dietary caffeine intake and latent tuberculosis infection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(LTBI). The aim of this study was to elucidate the impact of dietary caffeine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intake and urinary caffeine metabolite levels on LTBI.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We conducted a prospective cohort study using data from the National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Health and Nutrition Examination Survey (NHANES) from 2011 to 2012. We used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multivariate logistic regression to explore the relationship between dietary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caffeine intake and LTBI prevalence, and adjusted for confounding factors. At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the same time, we measured the level of caffeine metabolites in the urine.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The mean dietary caffeine intake was 94.0 mg (12.0–205.0 mg) in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non-LTBI group and 71.0 mg (11.2–160.0 mg) in the LTBI group (P&lt;0.05).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Multivariable-adjusted regression revealed that the participants with a dietary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caffeine intake of </w:t>
      </w:r>
      <w:r w:rsidRPr="002E3956">
        <w:rPr>
          <w:rFonts w:ascii="宋体" w:eastAsia="宋体" w:hAnsi="宋体" w:cs="宋体" w:hint="eastAsia"/>
          <w:szCs w:val="21"/>
        </w:rPr>
        <w:t>≥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150 mg/day have lower odds of LTBI compared with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participants with a dietary caffeine intake&lt;150 mg/day ( OR [odds ratio] 0.70,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95% confidence interval 0.54–0.91). In subgroup analysis, LTBI correlated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negatively with age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65 years, the male sex, the Mexican American ethnicity, a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body mass index of 25 to &lt;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30 kg/m2, and diabetes (Ps&lt;0.05). Caffeine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metabolites such as 1-methyl-uric acid and 1,7-dimethyl-uric acid were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significantly lower in urine from the participants with LTBI (Ps&lt;0.05).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714BD5">
        <w:rPr>
          <w:rFonts w:ascii="宋体" w:eastAsia="宋体" w:hAnsi="宋体" w:cs="宋体"/>
          <w:b/>
          <w:szCs w:val="21"/>
        </w:rPr>
        <w:t>CONCLUSIONS:</w:t>
      </w:r>
      <w:r w:rsidRPr="002E3956">
        <w:rPr>
          <w:rFonts w:ascii="宋体" w:eastAsia="宋体" w:hAnsi="宋体" w:cs="宋体"/>
          <w:szCs w:val="21"/>
        </w:rPr>
        <w:t xml:space="preserve"> A lower dietary caffeine intake was proportionally related to LTBI.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findings presented in this study should be validated and investigated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further.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10.1186/s12890-025-03785-9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PMC12225470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40611082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5525CF" w:rsidRDefault="00503BEE" w:rsidP="00EE006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6</w:t>
      </w:r>
      <w:r w:rsidR="00EE006A" w:rsidRPr="005525CF">
        <w:rPr>
          <w:rFonts w:ascii="宋体" w:eastAsia="宋体" w:hAnsi="宋体" w:cs="宋体"/>
          <w:b/>
          <w:color w:val="FF0000"/>
          <w:szCs w:val="21"/>
        </w:rPr>
        <w:t>. Sci Rep. 2025 Jul 2;15(1):23633. doi: 10.1038/s41598-025-08078-z.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Predictive modelling of air pollution affecting human tuberculosis risk 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Mainland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Qin B(#)(1), He R(#)(1), Qin X(#)(1), Jiang J(2), Zhou C(1), Wu S(1), Zhu J(1),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Wu S(1), Chen J(1), Xue J(1), He K(3), Liu C(1), Ma J(4), Zhan X(5).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582E84" w:rsidRPr="00582E84" w:rsidRDefault="00582E84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582E84">
        <w:rPr>
          <w:rFonts w:ascii="宋体" w:eastAsia="宋体" w:hAnsi="宋体" w:cs="宋体"/>
          <w:b/>
          <w:color w:val="0070C0"/>
          <w:szCs w:val="21"/>
        </w:rPr>
        <w:t>Boli Qin, Rongqing He, Xiaopeng Qin, Jiayan Jiang, Chenxing Zhou, Songze Wu, Jichong Zhu, Shaofeng Wu, Jiarui Chen, Jiang Xue, Kechang He, Chong Liu, Jie Ma</w:t>
      </w:r>
      <w:r w:rsidRPr="00582E84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82E84">
        <w:rPr>
          <w:rFonts w:ascii="宋体" w:eastAsia="宋体" w:hAnsi="宋体" w:cs="宋体"/>
          <w:b/>
          <w:color w:val="0070C0"/>
          <w:szCs w:val="21"/>
        </w:rPr>
        <w:t>, Xinli Zhan</w:t>
      </w:r>
      <w:r w:rsidRPr="00582E84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582E84" w:rsidRPr="00582E84" w:rsidRDefault="00582E84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582E84">
        <w:rPr>
          <w:rFonts w:ascii="宋体" w:eastAsia="宋体" w:hAnsi="宋体" w:cs="宋体"/>
          <w:b/>
          <w:color w:val="0070C0"/>
          <w:szCs w:val="21"/>
        </w:rPr>
        <w:sym w:font="Symbol" w:char="F02A"/>
      </w:r>
      <w:r w:rsidRPr="00582E84">
        <w:rPr>
          <w:rFonts w:ascii="宋体" w:eastAsia="宋体" w:hAnsi="宋体" w:cs="宋体"/>
          <w:b/>
          <w:color w:val="0070C0"/>
          <w:szCs w:val="21"/>
        </w:rPr>
        <w:t xml:space="preserve"> Jie Ma</w:t>
      </w:r>
      <w:r w:rsidRPr="00582E8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82E84">
        <w:rPr>
          <w:rFonts w:ascii="宋体" w:eastAsia="宋体" w:hAnsi="宋体" w:cs="宋体"/>
          <w:b/>
          <w:color w:val="0070C0"/>
          <w:szCs w:val="21"/>
        </w:rPr>
        <w:t>mj-friend@163.com; Xinli Zhan</w:t>
      </w:r>
      <w:r w:rsidRPr="00582E8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82E84">
        <w:rPr>
          <w:rFonts w:ascii="宋体" w:eastAsia="宋体" w:hAnsi="宋体" w:cs="宋体"/>
          <w:b/>
          <w:color w:val="0070C0"/>
          <w:szCs w:val="21"/>
        </w:rPr>
        <w:t>zhanxinli@stu.gxmu.edu.cn</w:t>
      </w:r>
    </w:p>
    <w:p w:rsidR="00582E84" w:rsidRDefault="00582E84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(1)The First Affiliated Hospital of Guangxi Medical University, No.6 Shuangyong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Road, Nanning, 530021, Guangxi, People's Republic of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(2)Xuzhou Medical University, No.209 Tongshan Road, Xuzhou, 221004, Jiangsu,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People's Republic of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(3)HIV/AIDS Clinical Treatment Center of Guangxi (Nanning) and The Fourth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People's Hospital of Nanning, No. 1, Lane 2, Changgang Road, Nanning, 530023,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Guangxi, People's Republic of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(4)HIV/AIDS Clinical Treatment Center of Guangxi (Nanning) and The Fourth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People's Hospital of Nanning, No. 1, Lane 2, Changgang Road, Nanning, 530023,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Guangxi, People's Republic of China. mj-friend@163.com.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(5)The First Affiliated Hospital of Guangxi Medical University, No.6 Shuangyong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Road, Nanning, 530021, Guangxi, People's Republic of China.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zhanxinli@stu.gxmu.edu.cn.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 this study, we investigated the correlation between air pollution indicators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pulmonary tuberculosis (TB) incidence and mortality rates across provincial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administrative regions of China from January 2013 to December 2020 to develop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predictive models using machine learning. Data on TB rates and six air pollution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indicators were collected and analyzed for correlations. Regression models were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built using six algorithms, among which the random forest (RF) model showed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superior performance. SHapley Additive exPlanations analysis helped interpret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RF model's predictions. Seasonal and lag analyses identified a 10-month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optimal lag period. Seasonal autoregressive integrated moving average models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were used to predict 2020 TB incidence rates, which were validated by comparing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them with actual data. The results indicated significant correlations between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air pollution and TB rates, highlighting that air pollution data can predict TB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incidence and mortality; therefore, air pollution data can help develop public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health strategies. This study emphasized the importance of integrating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environmental factors into TB control efforts using artificial intelligence.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2025. The Author(s).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10.1038/s41598-025-08078-z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PMC12223263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40603496 [Indexed for MEDLINE]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5525CF" w:rsidRDefault="00503BEE" w:rsidP="00EE006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7</w:t>
      </w:r>
      <w:r w:rsidR="00EE006A" w:rsidRPr="005525CF">
        <w:rPr>
          <w:rFonts w:ascii="宋体" w:eastAsia="宋体" w:hAnsi="宋体" w:cs="宋体"/>
          <w:b/>
          <w:color w:val="FF0000"/>
          <w:szCs w:val="21"/>
        </w:rPr>
        <w:t xml:space="preserve">. PLoS One. 2025 Jul 2;20(7):e0327767. doi: 10.1371/journal.pone.0327767. </w:t>
      </w:r>
    </w:p>
    <w:p w:rsidR="00EE006A" w:rsidRPr="005525CF" w:rsidRDefault="00EE006A" w:rsidP="00EE006A">
      <w:pPr>
        <w:rPr>
          <w:rFonts w:ascii="宋体" w:eastAsia="宋体" w:hAnsi="宋体" w:cs="宋体"/>
          <w:b/>
          <w:color w:val="FF0000"/>
          <w:szCs w:val="21"/>
        </w:rPr>
      </w:pPr>
      <w:r w:rsidRPr="005525CF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Development and validation of a nomogram for predicting false negative IGRA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results in pulmonary tuberculosis patients using propensity score matching.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Zhang F(1), Gao Y(1), Li T(1), Zhang W(1).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8D6A73" w:rsidRPr="002E4E3B" w:rsidRDefault="008D6A73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2E4E3B">
        <w:rPr>
          <w:rFonts w:ascii="宋体" w:eastAsia="宋体" w:hAnsi="宋体" w:cs="宋体"/>
          <w:b/>
          <w:color w:val="0070C0"/>
          <w:szCs w:val="21"/>
        </w:rPr>
        <w:t>Feng Zhang,</w:t>
      </w:r>
      <w:r w:rsidR="002E4E3B" w:rsidRPr="002E4E3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2E4E3B">
        <w:rPr>
          <w:rFonts w:ascii="宋体" w:eastAsia="宋体" w:hAnsi="宋体" w:cs="宋体"/>
          <w:b/>
          <w:color w:val="0070C0"/>
          <w:szCs w:val="21"/>
        </w:rPr>
        <w:t>Yong Gao,</w:t>
      </w:r>
      <w:r w:rsidR="002E4E3B" w:rsidRPr="002E4E3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2E4E3B">
        <w:rPr>
          <w:rFonts w:ascii="宋体" w:eastAsia="宋体" w:hAnsi="宋体" w:cs="宋体"/>
          <w:b/>
          <w:color w:val="0070C0"/>
          <w:szCs w:val="21"/>
        </w:rPr>
        <w:t>Tuantuan Li,</w:t>
      </w:r>
      <w:r w:rsidR="002E4E3B" w:rsidRPr="002E4E3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2E4E3B">
        <w:rPr>
          <w:rFonts w:ascii="宋体" w:eastAsia="宋体" w:hAnsi="宋体" w:cs="宋体"/>
          <w:b/>
          <w:color w:val="0070C0"/>
          <w:szCs w:val="21"/>
        </w:rPr>
        <w:t>Wei Zhang</w:t>
      </w:r>
      <w:r w:rsidR="002E4E3B" w:rsidRPr="002E4E3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8D6A73" w:rsidRPr="002E4E3B" w:rsidRDefault="008D6A73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2E4E3B">
        <w:rPr>
          <w:rFonts w:ascii="宋体" w:eastAsia="宋体" w:hAnsi="宋体" w:cs="宋体"/>
          <w:b/>
          <w:color w:val="0070C0"/>
          <w:szCs w:val="21"/>
        </w:rPr>
        <w:t xml:space="preserve">* </w:t>
      </w:r>
      <w:r w:rsidR="002E4E3B" w:rsidRPr="002E4E3B">
        <w:rPr>
          <w:rFonts w:ascii="宋体" w:eastAsia="宋体" w:hAnsi="宋体" w:cs="宋体"/>
          <w:b/>
          <w:color w:val="0070C0"/>
          <w:szCs w:val="21"/>
        </w:rPr>
        <w:t>Wei Zhang</w:t>
      </w:r>
      <w:r w:rsidR="002E4E3B" w:rsidRPr="002E4E3B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2E4E3B">
        <w:rPr>
          <w:rFonts w:ascii="宋体" w:eastAsia="宋体" w:hAnsi="宋体" w:cs="宋体"/>
          <w:b/>
          <w:color w:val="0070C0"/>
          <w:szCs w:val="21"/>
        </w:rPr>
        <w:t>94499420@qq.com</w:t>
      </w:r>
    </w:p>
    <w:p w:rsidR="008D6A73" w:rsidRPr="002E3956" w:rsidRDefault="008D6A73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(1)No.2 People's Hospital of Fuyang City, Fuyang Infectious Disease Clinical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College of Anhui Medical University, Fuyang, Anhui,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lastRenderedPageBreak/>
        <w:t xml:space="preserve">OBJECTIVE: </w:t>
      </w:r>
      <w:r w:rsidRPr="002E3956">
        <w:rPr>
          <w:rFonts w:ascii="宋体" w:eastAsia="宋体" w:hAnsi="宋体" w:cs="宋体"/>
          <w:szCs w:val="21"/>
        </w:rPr>
        <w:t xml:space="preserve">This study aims to explore factors influencing false-negative results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 Interferon-Gamma Release Assay (IGRA) for patients with Pulmonary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(PTB), and develop a nomogram model to predict IGRA false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negatives, thereby optimizing clinical diagnosis and treatment decisions.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METHODS: </w:t>
      </w:r>
      <w:r w:rsidRPr="002E3956">
        <w:rPr>
          <w:rFonts w:ascii="宋体" w:eastAsia="宋体" w:hAnsi="宋体" w:cs="宋体"/>
          <w:szCs w:val="21"/>
        </w:rPr>
        <w:t xml:space="preserve">Data were collected from January 2023 to September 2024 at the Second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People's Hospital of Fuyang City, involving 143 PTB patients. Among them, 63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who were IGRA negative but pathogen positive formed the observation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group, while 80 patients who were both IGRA and pathogen positive constituted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control group. Propensity Score Matching (PSM) was used to balance potential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confounding factors between the two groups. Clinical characteristics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laboratory indicators were compared, followed by logistic regression analysis to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identify independent risk factors affecting IGRA results. A nomogram model was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constructed based on these factors and its predictive performance evaluated.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>RESULTS:</w:t>
      </w:r>
      <w:r w:rsidRPr="002E3956">
        <w:rPr>
          <w:rFonts w:ascii="宋体" w:eastAsia="宋体" w:hAnsi="宋体" w:cs="宋体"/>
          <w:szCs w:val="21"/>
        </w:rPr>
        <w:t xml:space="preserve"> After PSM, each group consisted of 55 patients. The observation group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showed significantly lower levels of white blood cell count (WBC), neutrophil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count (NEUT), lymphocyte count (LYM), red blood cell count (RBC), hemoglobin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(HGB), and albumin (ALB) compared to the control group (P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0.05). Multivariate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analysis ultimately identified RBC, ALB and NLR as independent predictors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IGRA false-negativity. The developed nomogram model demonstrated good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calibration (χ²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4.482, 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0.811), with an area under the receiver operating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characteristic curve (AUC) of 0.764 (95% CI: 0.675-0.853). Decision curve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analysis indicated that the net benefit of predicting false-negative IGRA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results using this nomogram model was greater than 0 when the threshold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probability ranged from 0.15 to 0.95.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Decreased RBC/ALB and elevated NLR may be pivotal factors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contributing to false-negative IGRA results in PTB patients. The three-variable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nomogram shows enhanced predictive performance, serving as a quantitative tool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identify high-risk cases, particularly for patients with malnutrition or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pronounced inflammatory status.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Copyright: © 2025 Zhang et al. This is an open access article distributed under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terms of the Creative Commons Attribution License, which permits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unrestricted use, distribution, and reproduction in any medium, provided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original author and source are credited.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10.1371/journal.pone.0327767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PMC12220989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40601767 [Indexed for MEDLINE]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5525CF" w:rsidRDefault="00503BEE" w:rsidP="00EE006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8</w:t>
      </w:r>
      <w:r w:rsidR="00EE006A" w:rsidRPr="005525CF">
        <w:rPr>
          <w:rFonts w:ascii="宋体" w:eastAsia="宋体" w:hAnsi="宋体" w:cs="宋体"/>
          <w:b/>
          <w:color w:val="FF0000"/>
          <w:szCs w:val="21"/>
        </w:rPr>
        <w:t>. BMC Med Imaging. 2025 Jul 1;25(1):212. doi: 10.1186/s12880-025-01753-7.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Computed tomography imaging analysis of hematogenous disseminated pulmonary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tuberculosis cases combined with prostate tuberculosis.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Fu XW(#)(1), Bi Y(#)(2), Qi M(3), Liu JL(2), Wei JL(3), Gan W(3), He JT(4), Li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X(5).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A2715E" w:rsidRPr="00A2715E" w:rsidRDefault="00A2715E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A2715E">
        <w:rPr>
          <w:rFonts w:ascii="宋体" w:eastAsia="宋体" w:hAnsi="宋体" w:cs="宋体"/>
          <w:b/>
          <w:color w:val="0070C0"/>
          <w:szCs w:val="21"/>
        </w:rPr>
        <w:t>Xu-Wen Fu, Yan Bi, Min Qi, Jing-Liang Liu, Jia-Lu Wei, Wei Gan, Jin-Tang He</w:t>
      </w:r>
      <w:r w:rsidRPr="00A2715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2715E">
        <w:rPr>
          <w:rFonts w:ascii="宋体" w:eastAsia="宋体" w:hAnsi="宋体" w:cs="宋体"/>
          <w:b/>
          <w:color w:val="0070C0"/>
          <w:szCs w:val="21"/>
        </w:rPr>
        <w:t>, Xiang Li</w:t>
      </w:r>
      <w:r w:rsidRPr="00A2715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A2715E" w:rsidRPr="00A2715E" w:rsidRDefault="00A2715E" w:rsidP="00A2715E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A2715E">
        <w:rPr>
          <w:rFonts w:ascii="宋体" w:eastAsia="宋体" w:hAnsi="宋体" w:cs="宋体"/>
          <w:b/>
          <w:color w:val="0070C0"/>
          <w:szCs w:val="21"/>
        </w:rPr>
        <w:t>*Correspondence: Jin-Tang He</w:t>
      </w:r>
      <w:r w:rsidRPr="00A2715E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2715E">
        <w:rPr>
          <w:rFonts w:ascii="宋体" w:eastAsia="宋体" w:hAnsi="宋体" w:cs="宋体"/>
          <w:b/>
          <w:color w:val="0070C0"/>
          <w:szCs w:val="21"/>
        </w:rPr>
        <w:t xml:space="preserve"> m18608770202@163.com </w:t>
      </w:r>
      <w:r w:rsidRPr="00A2715E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A2715E">
        <w:rPr>
          <w:rFonts w:ascii="宋体" w:eastAsia="宋体" w:hAnsi="宋体" w:cs="宋体"/>
          <w:b/>
          <w:color w:val="0070C0"/>
          <w:szCs w:val="21"/>
        </w:rPr>
        <w:t>Xiang Li</w:t>
      </w:r>
      <w:r w:rsidRPr="00A2715E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2715E">
        <w:rPr>
          <w:rFonts w:ascii="宋体" w:eastAsia="宋体" w:hAnsi="宋体" w:cs="宋体"/>
          <w:b/>
          <w:color w:val="0070C0"/>
          <w:szCs w:val="21"/>
        </w:rPr>
        <w:t xml:space="preserve"> 15887138804@163.com</w:t>
      </w:r>
    </w:p>
    <w:p w:rsidR="00A2715E" w:rsidRDefault="00A2715E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Clinical Pharmacy, Yunnan Clinical Medical Center for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Infectious Diseases, Kunming Third People's Hospital, Kunming, 650041,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Radiology, The People's Hospital of Lincang, Lincang, 677000,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Radiology, Yunnan Clinical Medical Center for Infectious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Diseases, Kunming Third People's Hospital, No. 319 of Wujing Street, Guandu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District, Kunming, 650041,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Tuberculosis Surgery, Yunnan Clinical Medical Center for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Infectious Diseases, Kunming Third People's Hospital, No. 319 of Wujing Street,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Guandu District, Kunming, 650041, China. m18608770202@163.com.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(5)Department of Radiology, Yunnan Clinical Medical Center for Infectious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Diseases, Kunming Third People's Hospital, No. 319 of Wujing Street, Guandu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District, Kunming, 650041, China. 15887138804@163.com.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OBJECTIVE: </w:t>
      </w:r>
      <w:r w:rsidRPr="002E3956">
        <w:rPr>
          <w:rFonts w:ascii="宋体" w:eastAsia="宋体" w:hAnsi="宋体" w:cs="宋体"/>
          <w:szCs w:val="21"/>
        </w:rPr>
        <w:t xml:space="preserve">The aim of this study is to enhance the understanding of prostate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by analyzing clinical data and prostate computed tomography (CT)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imaging of patients with hematogenous disseminated pulmonary tuberculosis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prostate tuberculosis.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Patients with hematogenous disseminated pulmonary tuberculosis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prostate tuberculosis admitted to Kunming Third People's Hospital between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January 2018 and December 2024 were enrolled in the study. Their clinical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imaging characteristics were retrospectively analyzed.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A cohort of 11 male patients were included in the study, with only 4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(36.4%) experiencing scrotal swelling and pain. All 11 patients (100.0%) had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positive γ-interferon release assay results. More than 90% exhibited a decreased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absolute value and percentage of peripheral blood lymphocytes, lower serum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albumin and prealbumin levels, elevated C-reactive protein, and an increased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erythrocyte sedimentation rate. CT images of prostate tuberculosis predominantly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revealed multiple hypodense shadows in the prostate, while contrast-enhanced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scans demonstrated annular enhancement or significant enhancement of prostate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tissue outside the lesion. Following effective anti-tuberculosis treatment,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follow-up CT scans showed lesion size reduction, decreased enhancement around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hypodense lesion, and the emergence of punctate and sand-like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calcifications. If tuberculosis involved other organs of the male reproductive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system, corresponding CT findings were also observed.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Hematogenous disseminated pulmonary tuberculosis with concurrent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prostate tuberculosis is often associated with other extrapulmonary tuberculosis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tuberculosis affecting organs of the reproductive system. Clinical symptoms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are generally mild. CT imaging plays a significant role in diagnosing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monitoring this condition.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2025. The Author(s).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10.1186/s12880-025-01753-7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PMC12211806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40597764 [Indexed for MEDLINE]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5525CF" w:rsidRDefault="00503BEE" w:rsidP="00EE006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9</w:t>
      </w:r>
      <w:r w:rsidR="00EE006A" w:rsidRPr="005525CF">
        <w:rPr>
          <w:rFonts w:ascii="宋体" w:eastAsia="宋体" w:hAnsi="宋体" w:cs="宋体"/>
          <w:b/>
          <w:color w:val="FF0000"/>
          <w:szCs w:val="21"/>
        </w:rPr>
        <w:t>. BMC Microbiol. 2025 Jul 1;25(1):373. doi: 10.1186/s12866-025-04091-4.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Sputum microbiota profiles of patients with rifampicin-resistant tuberculosis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during the intensive-phase treatment.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Cai X(1), Lin Y(2), Wu B(2), Luo Y(1), Li K(3).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F96D7B" w:rsidRPr="00CB5088" w:rsidRDefault="00F96D7B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CB5088">
        <w:rPr>
          <w:rFonts w:ascii="宋体" w:eastAsia="宋体" w:hAnsi="宋体" w:cs="宋体"/>
          <w:b/>
          <w:color w:val="0070C0"/>
          <w:szCs w:val="21"/>
        </w:rPr>
        <w:t>Xingshan Cai,</w:t>
      </w:r>
      <w:r w:rsidR="00CB5088" w:rsidRPr="00CB5088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B5088">
        <w:rPr>
          <w:rFonts w:ascii="宋体" w:eastAsia="宋体" w:hAnsi="宋体" w:cs="宋体"/>
          <w:b/>
          <w:color w:val="0070C0"/>
          <w:szCs w:val="21"/>
        </w:rPr>
        <w:t>Yuan Lin,</w:t>
      </w:r>
      <w:r w:rsidR="00CB5088" w:rsidRPr="00CB5088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B5088">
        <w:rPr>
          <w:rFonts w:ascii="宋体" w:eastAsia="宋体" w:hAnsi="宋体" w:cs="宋体"/>
          <w:b/>
          <w:color w:val="0070C0"/>
          <w:szCs w:val="21"/>
        </w:rPr>
        <w:t>Bitong Wu,</w:t>
      </w:r>
      <w:r w:rsidR="00CB5088" w:rsidRPr="00CB5088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B5088">
        <w:rPr>
          <w:rFonts w:ascii="宋体" w:eastAsia="宋体" w:hAnsi="宋体" w:cs="宋体"/>
          <w:b/>
          <w:color w:val="0070C0"/>
          <w:szCs w:val="21"/>
        </w:rPr>
        <w:t>Yang Luo,</w:t>
      </w:r>
      <w:r w:rsidR="00CB5088" w:rsidRPr="00CB5088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B5088">
        <w:rPr>
          <w:rFonts w:ascii="宋体" w:eastAsia="宋体" w:hAnsi="宋体" w:cs="宋体"/>
          <w:b/>
          <w:color w:val="0070C0"/>
          <w:szCs w:val="21"/>
        </w:rPr>
        <w:t>Kun Li</w:t>
      </w:r>
      <w:r w:rsidR="00CB5088" w:rsidRPr="00CB5088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F96D7B" w:rsidRPr="00CB5088" w:rsidRDefault="00CB5088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CB5088">
        <w:rPr>
          <w:rFonts w:ascii="宋体" w:eastAsia="宋体" w:hAnsi="宋体" w:cs="宋体"/>
          <w:b/>
          <w:color w:val="0070C0"/>
          <w:szCs w:val="21"/>
        </w:rPr>
        <w:t>*Correspondence: Kun Li</w:t>
      </w:r>
      <w:r w:rsidRPr="00CB5088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B5088">
        <w:rPr>
          <w:rFonts w:ascii="宋体" w:eastAsia="宋体" w:hAnsi="宋体" w:cs="宋体"/>
          <w:b/>
          <w:color w:val="0070C0"/>
          <w:szCs w:val="21"/>
        </w:rPr>
        <w:t>489601028@qq.com</w:t>
      </w:r>
    </w:p>
    <w:p w:rsidR="00F96D7B" w:rsidRDefault="00F96D7B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Medical Laboratory, State Key Laboratory of Respiratory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Disease, Guangzhou Key Laboratory of Tuberculosis Research, Guangzhou Chest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Hospital, Institute of Tuberculosis, Guangzhou Medical University, Guangdong,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510095, P.R.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Tuberculosis Internal Medicine, State Key Laboratory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Respiratory Disease, Guangzhou Key Laboratory of Tuberculosis Research,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Guangzhou Chest Hospital, Institute of Tuberculosis, Guangzhou Medical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Guangdong, 510095, P.R.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Medical Laboratory, State Key Laboratory of Respiratory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Disease, Guangzhou Key Laboratory of Tuberculosis Research, Guangzhou Chest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Hospital, Institute of Tuberculosis, Guangzhou Medical University, Guangdong,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510095, P.R. China. 489601028@qq.com.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BACKGROUND: </w:t>
      </w:r>
      <w:r w:rsidRPr="002E3956">
        <w:rPr>
          <w:rFonts w:ascii="宋体" w:eastAsia="宋体" w:hAnsi="宋体" w:cs="宋体"/>
          <w:szCs w:val="21"/>
        </w:rPr>
        <w:t xml:space="preserve">The respiratory microbiome plays a crucial role in respiratory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health and influences the onset and progression of tuberculosis (TB). However,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changes in the respiratory microbiota of patients with rifampicin-resistant TB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(RR-TB) during the intensive-phase treatment have not been assessed. This study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aimed to investigate the impact of a six-month intensive-phase treatment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second-line anti-TB drugs on the respiratory microbiota of RR-TB patients.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METHODS: </w:t>
      </w:r>
      <w:r w:rsidRPr="002E3956">
        <w:rPr>
          <w:rFonts w:ascii="宋体" w:eastAsia="宋体" w:hAnsi="宋体" w:cs="宋体"/>
          <w:szCs w:val="21"/>
        </w:rPr>
        <w:t xml:space="preserve">Sputum samples were collected from 14 RR-TB patients and 14 healthy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controls. Microbiota composition was analyzed using 16S rRNA gene sequencing,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and functional predictions were performed to assess metabolic pathway changes.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>RESULTS:</w:t>
      </w:r>
      <w:r w:rsidRPr="002E3956">
        <w:rPr>
          <w:rFonts w:ascii="宋体" w:eastAsia="宋体" w:hAnsi="宋体" w:cs="宋体"/>
          <w:szCs w:val="21"/>
        </w:rPr>
        <w:t xml:space="preserve"> RR-TB patients exhibited significantly lower alpha diversity compared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healthy controls, but no significant changes were observed after six months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treatment. Beta diversity analysis revealed distinct clustering patterns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between RR-TB patients and healthy controls, with no significant differences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between pre- and post-treatment groups. Functional analysis showed reduced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microbial functions related to pyruvate fermentation and amino acid metabolism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 RR-TB patients.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CONCLUSIONS: </w:t>
      </w:r>
      <w:r w:rsidRPr="002E3956">
        <w:rPr>
          <w:rFonts w:ascii="宋体" w:eastAsia="宋体" w:hAnsi="宋体" w:cs="宋体"/>
          <w:szCs w:val="21"/>
        </w:rPr>
        <w:t xml:space="preserve">These findings highlight the specific effects of second-line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anti-TB drugs on the respiratory microbiota and suggest potential roles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respiratory ecological imbalance in RR-TB pathogenesis. Future studies could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explore microbiome-based diagnostic and therapeutic strategies for RR-TB.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SUPPLEMENTARY INFORMATION: The online version contains supplementary material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available at 10.1186/s12866-025-04091-4.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10.1186/s12866-025-04091-4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PMC12220151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40597612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5525CF" w:rsidRDefault="00EE006A" w:rsidP="00EE006A">
      <w:pPr>
        <w:rPr>
          <w:rFonts w:ascii="宋体" w:eastAsia="宋体" w:hAnsi="宋体" w:cs="宋体"/>
          <w:b/>
          <w:color w:val="FF0000"/>
          <w:szCs w:val="21"/>
        </w:rPr>
      </w:pPr>
      <w:r w:rsidRPr="005525CF">
        <w:rPr>
          <w:rFonts w:ascii="宋体" w:eastAsia="宋体" w:hAnsi="宋体" w:cs="宋体"/>
          <w:b/>
          <w:color w:val="FF0000"/>
          <w:szCs w:val="21"/>
        </w:rPr>
        <w:t>1</w:t>
      </w:r>
      <w:r w:rsidR="00503BEE">
        <w:rPr>
          <w:rFonts w:ascii="宋体" w:eastAsia="宋体" w:hAnsi="宋体" w:cs="宋体"/>
          <w:b/>
          <w:color w:val="FF0000"/>
          <w:szCs w:val="21"/>
        </w:rPr>
        <w:t>0</w:t>
      </w:r>
      <w:r w:rsidRPr="005525CF">
        <w:rPr>
          <w:rFonts w:ascii="宋体" w:eastAsia="宋体" w:hAnsi="宋体" w:cs="宋体"/>
          <w:b/>
          <w:color w:val="FF0000"/>
          <w:szCs w:val="21"/>
        </w:rPr>
        <w:t>. BMC Infect Dis. 2025 Jul 1;25(1):861. doi: 10.1186/s12879-025-11227-4.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Nanopore-based targeted sequencing (NTS) for drug-resistant tuberculosis: an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integrated tool for personalized treatment strategies and guidance for new drug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development.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Yang C(#)(1), Dai G(#)(1), Guo Y(2), Wang T(1), Gao W(#)(3), Zeng Y(#)(4).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AA1DCF" w:rsidRPr="00AA1DCF" w:rsidRDefault="00AA1DCF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AA1DCF">
        <w:rPr>
          <w:rFonts w:ascii="宋体" w:eastAsia="宋体" w:hAnsi="宋体" w:cs="宋体"/>
          <w:b/>
          <w:color w:val="0070C0"/>
          <w:szCs w:val="21"/>
        </w:rPr>
        <w:t>Chen Yang, Guangchuan Dai, Yicheng Guo, Tianzhen Wang, Weiwei Gao</w:t>
      </w:r>
      <w:r w:rsidRPr="00AA1DC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AA1DCF">
        <w:rPr>
          <w:rFonts w:ascii="宋体" w:eastAsia="宋体" w:hAnsi="宋体" w:cs="宋体"/>
          <w:b/>
          <w:color w:val="0070C0"/>
          <w:szCs w:val="21"/>
        </w:rPr>
        <w:t>, Yi Zeng</w:t>
      </w:r>
      <w:r w:rsidRPr="00AA1DCF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AA1DCF" w:rsidRPr="00AA1DCF" w:rsidRDefault="00AA1DCF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AA1DCF">
        <w:rPr>
          <w:rFonts w:ascii="宋体" w:eastAsia="宋体" w:hAnsi="宋体" w:cs="宋体"/>
          <w:b/>
          <w:color w:val="0070C0"/>
          <w:szCs w:val="21"/>
        </w:rPr>
        <w:t>*Correspondence: Weiwei Gao</w:t>
      </w:r>
      <w:r w:rsidRPr="00AA1DCF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A1DCF">
        <w:rPr>
          <w:rFonts w:ascii="宋体" w:eastAsia="宋体" w:hAnsi="宋体" w:cs="宋体"/>
          <w:b/>
          <w:color w:val="0070C0"/>
          <w:szCs w:val="21"/>
        </w:rPr>
        <w:t xml:space="preserve">weiweigao1106@163.com </w:t>
      </w:r>
      <w:r w:rsidRPr="00AA1DCF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AA1DCF">
        <w:rPr>
          <w:rFonts w:ascii="宋体" w:eastAsia="宋体" w:hAnsi="宋体" w:cs="宋体"/>
          <w:b/>
          <w:color w:val="0070C0"/>
          <w:szCs w:val="21"/>
        </w:rPr>
        <w:t>Yi Zeng</w:t>
      </w:r>
      <w:r w:rsidRPr="00AA1DCF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A1DCF">
        <w:rPr>
          <w:rFonts w:ascii="宋体" w:eastAsia="宋体" w:hAnsi="宋体" w:cs="宋体"/>
          <w:b/>
          <w:color w:val="0070C0"/>
          <w:szCs w:val="21"/>
        </w:rPr>
        <w:t>960559051@qq.com</w:t>
      </w:r>
    </w:p>
    <w:p w:rsidR="00AA1DCF" w:rsidRPr="00AA1DCF" w:rsidRDefault="00AA1DCF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Tuberculosis, The Second Hospital of Nanjing, Nanjing, 211100,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Tuberculosis, The Second Hospital of Nanjing, The School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Public Health of Nanjing Medical University, Nanjing, 211166,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Tuberculosis, The Second Hospital of Nanjing, Nanjing, 211100,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 weiweigao1106@163.com.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Tuberculosis, The Second Hospital of Nanjing, Nanjing, 211100,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 960559051@qq.com.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>BACKGROUND:</w:t>
      </w:r>
      <w:r w:rsidRPr="002E3956">
        <w:rPr>
          <w:rFonts w:ascii="宋体" w:eastAsia="宋体" w:hAnsi="宋体" w:cs="宋体"/>
          <w:szCs w:val="21"/>
        </w:rPr>
        <w:t xml:space="preserve"> Drug-resistant tuberculosis has emerged as a major public health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issue that requires immediate attention. NTS is an innovative method that allows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for the direct detection of clinical samples without the need for culture. It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could provide more accurate, reliable, and comprehensive information on drug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resistance.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>METHODS</w:t>
      </w:r>
      <w:r w:rsidRPr="002E3956">
        <w:rPr>
          <w:rFonts w:ascii="宋体" w:eastAsia="宋体" w:hAnsi="宋体" w:cs="宋体"/>
          <w:szCs w:val="21"/>
        </w:rPr>
        <w:t xml:space="preserve">: We collected clinical data retrospectively from patients suspected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having drug-resistant tuberculosis who visited the tuberculosis department at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Second Hospital of Nanjing in Jiangsu Province, China, from December 2023 to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December 2024. The diagnostic efficiency of NTS for different types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drug-resistant tuberculosis and antimicrobial resistance was calculated.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relationship between resistance genes, mutated amino acids, and mutation sites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was demonstrated.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In this study, a total of 107 patients with drug-resistant tuberculosis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were included, comprising 43 cases of mono-drug resistant tuberculosis, 20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with poly-drug resistant tuberculosis, 22 cases of multidrug-resistant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tuberculosis, 21 cases of pre-extensively drug-resistant tuberculosis and 1 case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extensively drug-resistant tuberculosis. The accuracy of NTS in diagnosing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drug-resistant tuberculosis ranged from 42.9 to 93.0%. Except for second-line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injectable drugs, NTS achieved a sensitivity of over 70% for other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anti-tuberculosis drugs. Serine was identified as the most frequently mutated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amino acid in both the rpoB gene (66.2%, 49/74) and the katG gene (86.3%,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44/51). Additionally, the most frequently mutated amino acids in the embB gene,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rpsL gene, and gyrA gene were methionine (94.7%, 44/51), lysine (100%, 28/28),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and aspartic acid (66.7%, 20/30), respectively.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NTS could effectively and precisely deliver comprehensive drug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resistance results, assisting medical professionals to create more personalized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treatment plans. Besides, it would encourage the development of new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anti-tuberculosis drugs to broaden clinical treatment options for drug-resistant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tuberculosis.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2025. The Author(s).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10.1186/s12879-025-11227-4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PMC12220424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40596923 [Indexed for MEDLINE]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5525CF" w:rsidRDefault="00EE006A" w:rsidP="00EE006A">
      <w:pPr>
        <w:rPr>
          <w:rFonts w:ascii="宋体" w:eastAsia="宋体" w:hAnsi="宋体" w:cs="宋体"/>
          <w:b/>
          <w:color w:val="FF0000"/>
          <w:szCs w:val="21"/>
        </w:rPr>
      </w:pPr>
      <w:r w:rsidRPr="005525CF">
        <w:rPr>
          <w:rFonts w:ascii="宋体" w:eastAsia="宋体" w:hAnsi="宋体" w:cs="宋体"/>
          <w:b/>
          <w:color w:val="FF0000"/>
          <w:szCs w:val="21"/>
        </w:rPr>
        <w:t>1</w:t>
      </w:r>
      <w:r w:rsidR="00503BEE">
        <w:rPr>
          <w:rFonts w:ascii="宋体" w:eastAsia="宋体" w:hAnsi="宋体" w:cs="宋体"/>
          <w:b/>
          <w:color w:val="FF0000"/>
          <w:szCs w:val="21"/>
        </w:rPr>
        <w:t>1</w:t>
      </w:r>
      <w:r w:rsidRPr="005525CF">
        <w:rPr>
          <w:rFonts w:ascii="宋体" w:eastAsia="宋体" w:hAnsi="宋体" w:cs="宋体"/>
          <w:b/>
          <w:color w:val="FF0000"/>
          <w:szCs w:val="21"/>
        </w:rPr>
        <w:t>. Sci Rep. 2025 Jul 1;15(1):21099. doi: 10.1038/s41598-025-08456-7.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LASSO regression-based nomogram for distinguishing nontuberculous mycobacterial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pulmonary disease from pulmonary tuberculosis: a clinical risk prediction model.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Zhang W(1), Li T(1), Liu H(1), Cao X(1), Yan H(1), Gao Y(2).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3A15B4" w:rsidRPr="003A15B4" w:rsidRDefault="003A15B4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3A15B4">
        <w:rPr>
          <w:rFonts w:ascii="宋体" w:eastAsia="宋体" w:hAnsi="宋体" w:cs="宋体"/>
          <w:b/>
          <w:color w:val="0070C0"/>
          <w:szCs w:val="21"/>
        </w:rPr>
        <w:t>Wei Zhang, Tuantuan Li, Haiqing Liu, Xiaoyu Cao, Hao Yan, Yong Gao</w:t>
      </w:r>
      <w:r w:rsidRPr="003A15B4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A15B4" w:rsidRPr="003A15B4" w:rsidRDefault="003A15B4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3A15B4">
        <w:rPr>
          <w:rFonts w:ascii="宋体" w:eastAsia="宋体" w:hAnsi="宋体" w:cs="宋体"/>
          <w:b/>
          <w:color w:val="0070C0"/>
          <w:szCs w:val="21"/>
        </w:rPr>
        <w:sym w:font="Symbol" w:char="F02A"/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A15B4">
        <w:rPr>
          <w:rFonts w:ascii="宋体" w:eastAsia="宋体" w:hAnsi="宋体" w:cs="宋体"/>
          <w:b/>
          <w:color w:val="0070C0"/>
          <w:szCs w:val="21"/>
        </w:rPr>
        <w:t>Yong Gao</w:t>
      </w:r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3A15B4">
        <w:rPr>
          <w:rFonts w:ascii="宋体" w:eastAsia="宋体" w:hAnsi="宋体" w:cs="宋体"/>
          <w:b/>
          <w:color w:val="0070C0"/>
          <w:szCs w:val="21"/>
        </w:rPr>
        <w:t>email: fyeryuangy8@126.com</w:t>
      </w:r>
    </w:p>
    <w:p w:rsidR="003A15B4" w:rsidRDefault="003A15B4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(1)No.2 People's Hospital of Fuyang City, Fuyang Infectious Disease Clinical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College of Anhui Medical University, Fuyang, 236000, Anhui, People's Republic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(2)No.2 People's Hospital of Fuyang City, Fuyang Infectious Disease Clinical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College of Anhui Medical University, Fuyang, 236000, Anhui, People's Republic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 fyeryuangy8@126.com.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This study aims to identify predictive factors that can effectively distinguish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between non-tuberculous mycobacterial pulmonary disease (NTM-PD) and pulmonary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(PTB) by comparing their clinical characteristics and laboratory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indicators, and to construct a risk prediction model based on these factors to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improve the accuracy of clinical diagnosis, optimize treatment strategies,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reduce the risks of misdiagnosis and drug resistance. Data from 150 hospitalized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treated at The Second People's Hospital of Fuyang City between January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2021 and December 2022 were collected, including 50 cases with NTM-PD and 100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cases with PTB. By gathering clinical data and laboratory inflammation markers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the patients, key predictive factors were identified using LASSO regression.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These factors were further analyzed through univariate and multivariate logistic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regression analysis to determine the influencing factors of NTM-PD, thereby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constructing a nomogram prediction model. The accuracy of the model was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evaluated through calibration curves, ROC curves, and Hosmer-Lemeshow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goodness-of-fit tests, while its clinical utility was assessed using decision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curve analysis and clinical impact curves.The two groups showed significant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differences in age, BMI, bronchiectasis, and lung cavitation (P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0.05). LASSO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regression analysis identified age, BMI, bronchiectasis, and lung cavitation as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four key variables. Multivariate logistic regression analysis revealed that old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age, bronchiectasis, and lung cavitation were risk factors for NTM-PD, while low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BMI acted as a protective factor. The nomogram model constructed based on these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four variables demonstrated excellent predictive performance.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Hosmer-Lemeshow goodness-of-fit test indicated good model fit (P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0.448), with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 area under the ROC curve (AUC) of 0.861 (95% CI: 0.798-0.923). Decision curve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clinical impact curve analyses suggested that the model has the potential to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optimize clinical decision-making within a threshold probability range of 0.05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0.75. By analyzing the critical differential characteristics between NTM-PD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PTB, we successfully developed a prediction model based on age, BMI,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bronchiectasis, and lung cavitation, which effectively assesses the risk of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NTM-PD occurrence, providing clinicians with a practical diagnostic aid.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2025. The Author(s).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10.1038/s41598-025-08456-7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PMC12216239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40596682 [Indexed for MEDLINE]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5525CF" w:rsidRDefault="00EE006A" w:rsidP="00EE006A">
      <w:pPr>
        <w:rPr>
          <w:rFonts w:ascii="宋体" w:eastAsia="宋体" w:hAnsi="宋体" w:cs="宋体"/>
          <w:b/>
          <w:color w:val="FF0000"/>
          <w:szCs w:val="21"/>
        </w:rPr>
      </w:pPr>
      <w:r w:rsidRPr="005525CF">
        <w:rPr>
          <w:rFonts w:ascii="宋体" w:eastAsia="宋体" w:hAnsi="宋体" w:cs="宋体"/>
          <w:b/>
          <w:color w:val="FF0000"/>
          <w:szCs w:val="21"/>
        </w:rPr>
        <w:t>1</w:t>
      </w:r>
      <w:r w:rsidR="00503BEE">
        <w:rPr>
          <w:rFonts w:ascii="宋体" w:eastAsia="宋体" w:hAnsi="宋体" w:cs="宋体"/>
          <w:b/>
          <w:color w:val="FF0000"/>
          <w:szCs w:val="21"/>
        </w:rPr>
        <w:t>2</w:t>
      </w:r>
      <w:r w:rsidRPr="005525CF">
        <w:rPr>
          <w:rFonts w:ascii="宋体" w:eastAsia="宋体" w:hAnsi="宋体" w:cs="宋体"/>
          <w:b/>
          <w:color w:val="FF0000"/>
          <w:szCs w:val="21"/>
        </w:rPr>
        <w:t>. Sci Rep. 2025 Jul 1;15(1):21302. doi: 10.1038/s41598-025-06080-z.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Treatment outcomes in cavitary multidrug-resistant/rifampicin-resistant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and risk factors for cavity closure: a retrospective cohort study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 Southwest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Chen Q(1), Zou L(2), Tang X(2), Huang T(2), Guo Z(2), Sun J(2), Lu X(2), Tang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S(3), Wu G(4), He W(5).</w:t>
      </w:r>
    </w:p>
    <w:p w:rsidR="00EE006A" w:rsidRDefault="00EE006A" w:rsidP="00EE006A">
      <w:pPr>
        <w:rPr>
          <w:rFonts w:ascii="宋体" w:eastAsia="宋体" w:hAnsi="宋体" w:cs="宋体"/>
          <w:szCs w:val="21"/>
        </w:rPr>
      </w:pPr>
    </w:p>
    <w:p w:rsidR="00B31395" w:rsidRPr="00B31395" w:rsidRDefault="00B31395" w:rsidP="00EE006A">
      <w:pPr>
        <w:rPr>
          <w:rFonts w:ascii="宋体" w:eastAsia="宋体" w:hAnsi="宋体" w:cs="宋体"/>
          <w:b/>
          <w:color w:val="0070C0"/>
          <w:szCs w:val="21"/>
        </w:rPr>
      </w:pPr>
      <w:r w:rsidRPr="00B31395">
        <w:rPr>
          <w:rFonts w:ascii="宋体" w:eastAsia="宋体" w:hAnsi="宋体" w:cs="宋体"/>
          <w:b/>
          <w:color w:val="0070C0"/>
          <w:szCs w:val="21"/>
        </w:rPr>
        <w:t>Qing Chen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31395">
        <w:rPr>
          <w:rFonts w:ascii="宋体" w:eastAsia="宋体" w:hAnsi="宋体" w:cs="宋体"/>
          <w:b/>
          <w:color w:val="0070C0"/>
          <w:szCs w:val="21"/>
        </w:rPr>
        <w:t>, Liping Zou, Xianzhen Tang, Tao Huang, Zhouli Guo, Jiying Sun, Xiaoli Lu, Shenjie Tang, Guihui Wu</w:t>
      </w:r>
      <w:r w:rsidRPr="00B3139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31395">
        <w:rPr>
          <w:rFonts w:ascii="宋体" w:eastAsia="宋体" w:hAnsi="宋体" w:cs="宋体"/>
          <w:b/>
          <w:color w:val="0070C0"/>
          <w:szCs w:val="21"/>
        </w:rPr>
        <w:t>, Wei He</w:t>
      </w:r>
      <w:r w:rsidRPr="00B3139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B31395" w:rsidRPr="00B31395" w:rsidRDefault="00B31395" w:rsidP="00255FF4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B31395">
        <w:rPr>
          <w:rFonts w:ascii="宋体" w:eastAsia="宋体" w:hAnsi="宋体" w:cs="宋体"/>
          <w:b/>
          <w:color w:val="0070C0"/>
          <w:szCs w:val="21"/>
        </w:rPr>
        <w:sym w:font="Symbol" w:char="F02A"/>
      </w:r>
      <w:r w:rsidR="00255FF4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="00255FF4" w:rsidRPr="00255FF4">
        <w:rPr>
          <w:rFonts w:ascii="宋体" w:eastAsia="宋体" w:hAnsi="宋体" w:cs="宋体"/>
          <w:b/>
          <w:color w:val="0070C0"/>
          <w:szCs w:val="21"/>
        </w:rPr>
        <w:t>Qing Chen</w:t>
      </w:r>
      <w:r w:rsidR="00255FF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B31395">
        <w:rPr>
          <w:rFonts w:ascii="宋体" w:eastAsia="宋体" w:hAnsi="宋体" w:cs="宋体"/>
          <w:b/>
          <w:color w:val="0070C0"/>
          <w:szCs w:val="21"/>
        </w:rPr>
        <w:t xml:space="preserve">doc_chen@sina.cn; </w:t>
      </w:r>
      <w:r w:rsidR="00255FF4" w:rsidRPr="00255FF4">
        <w:rPr>
          <w:rFonts w:ascii="宋体" w:eastAsia="宋体" w:hAnsi="宋体" w:cs="宋体"/>
          <w:b/>
          <w:color w:val="0070C0"/>
          <w:szCs w:val="21"/>
        </w:rPr>
        <w:t xml:space="preserve">Guihui Wu, </w:t>
      </w:r>
      <w:r w:rsidRPr="00B31395">
        <w:rPr>
          <w:rFonts w:ascii="宋体" w:eastAsia="宋体" w:hAnsi="宋体" w:cs="宋体"/>
          <w:b/>
          <w:color w:val="0070C0"/>
          <w:szCs w:val="21"/>
        </w:rPr>
        <w:t xml:space="preserve">wghwgh2584@sina.com; </w:t>
      </w:r>
      <w:r w:rsidR="00255FF4" w:rsidRPr="00255FF4">
        <w:rPr>
          <w:rFonts w:ascii="宋体" w:eastAsia="宋体" w:hAnsi="宋体" w:cs="宋体"/>
          <w:b/>
          <w:color w:val="0070C0"/>
          <w:szCs w:val="21"/>
        </w:rPr>
        <w:t>Wei He</w:t>
      </w:r>
      <w:r w:rsidR="00255FF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B31395">
        <w:rPr>
          <w:rFonts w:ascii="宋体" w:eastAsia="宋体" w:hAnsi="宋体" w:cs="宋体"/>
          <w:b/>
          <w:color w:val="0070C0"/>
          <w:szCs w:val="21"/>
        </w:rPr>
        <w:t xml:space="preserve">gufuxiao_hw@163.com </w:t>
      </w:r>
    </w:p>
    <w:p w:rsidR="00B31395" w:rsidRPr="002E3956" w:rsidRDefault="00B31395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Tuberculosis, Public Health Clinical Center of Chengdu,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Jingming 377 Street, Jingjiang District, Chengdu, 610061, Sichuan, China.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doc_chen@sina.cn.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Tuberculosis, Public Health Clinical Center of Chengdu,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Jingming 377 Street, Jingjiang District, Chengdu, 610061, Sichuan,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(3)Beijing Chest Hospital, Capital Medical University, Beijing Tuberculosis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Throcic Tumor Research Institute, Beijing, China.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Tuberculosis, Public Health Clinical Center of Chengdu,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Jingming 377 Street, Jingjiang District, Chengdu, 610061, Sichuan, China.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wghwgh2584@sina.com.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(5)Department of Tuberculosis, Public Health Clinical Center of Chengdu,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Jingming 377 Street, Jingjiang District, Chengdu, 610061, Sichuan, China.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gufuxiao_hw@163.com.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Pulmonary cavities in patients with tuberculosis contribute to antibiotic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failure, transmission, morbidity, and mortality. We aimed to report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treatment outcomes and risk factors for cavity closure in cavitary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multidrug-resistant/rifampicin-resistant tuberculosis in Southwest China. This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study was a retrospective cohort study which included adult patients with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multidrug-resistant /rifampicin-resistant tuberculosis in Southwest China from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January 2018 to January 2023. The patients were categorized into cavity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non-cavity groups, and their clinical characteristics and treatment outcomes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were retrospectively compared. A logistic regression model was used to identify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potential risk factors associated with cavity closure. In this study, 305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were enrolled, with 223 cases in the cavity group and 82 cases in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non-cavity group. The median age of patients in the cavity group was 31 (24, 44)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years, with a male to female sex ratio of 155/68. Within the cavity group, 8.1%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patients had rifampicin-resistant tuberculosis, 49.8% had multidrug-resistant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tuberculosis, and 42.2% had pre-extensively-drug resistant tuberculosis.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treatment outcomes of the cavitary group showed that 48.9% of patients were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cured, 28.3% completed treatment, 14.8% were lost to follow-up, and 6.7% could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not be evaluated, with one failure and two deaths. Various factors such as male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gender, smoking, drinking, tuberculosis treatment history, baseline AFB smear,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bilateral disease, and specific symptoms were more prevalent in the cavity group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compared to the non-cavity group. Sputum culture conversion rates at 2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6 months were lower in the cavity group (25.6% vs 37.8%; 63.7% vs 79.3% ,all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0.05). Within patients with cavities, 40.6% experienced cavity closure after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treatment, with a median closure time of 9.00 months. Baseline CD3+ T cell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counts decreased was found to be an independent risk factor for cavity closure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(aOR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2.278, 95% CI 1.109-4.680, 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0.025), while the use of a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bedaquiline-containing regimen (aOR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0.305, 95% CI 0.140-0.663, 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0.003) and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 delamanid-containing regimen (aOR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0.260, 95% CI 0.086-0.785, P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0.017) were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protective factors. Cavities may influence the timing of culture conversion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rather than influencing the treatment outcomes in patients with MDR/RR-TB. The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use of bedaquiline and delamanid in treatment regimens for MDR/RR-TB patients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could promote cavity closure and may enhance the management of cavitary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MDR/RR-TB. Furthermore, the enhancement of immunotherapy could potentially 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contribute to reducing the burden of cavitary MDR/RR-TB.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2025. The Author(s).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10.1038/s41598-025-06080-z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PMC12214753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40596245 [Indexed for MEDLINE]</w:t>
      </w:r>
    </w:p>
    <w:p w:rsidR="00EE006A" w:rsidRPr="002E3956" w:rsidRDefault="00EE006A" w:rsidP="00EE006A">
      <w:pPr>
        <w:rPr>
          <w:rFonts w:ascii="宋体" w:eastAsia="宋体" w:hAnsi="宋体" w:cs="宋体"/>
          <w:szCs w:val="21"/>
        </w:rPr>
      </w:pPr>
    </w:p>
    <w:p w:rsidR="001A6248" w:rsidRPr="00AC3A98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13</w:t>
      </w:r>
      <w:r w:rsidR="001A6248" w:rsidRPr="00AC3A98">
        <w:rPr>
          <w:rFonts w:ascii="宋体" w:eastAsia="宋体" w:hAnsi="宋体" w:cs="宋体"/>
          <w:b/>
          <w:color w:val="FF0000"/>
          <w:szCs w:val="21"/>
        </w:rPr>
        <w:t xml:space="preserve">. Front Cell Infect Microbiol. 2025 Jun 19;15:1592216. doi: </w:t>
      </w:r>
    </w:p>
    <w:p w:rsidR="001A6248" w:rsidRPr="00AC3A98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AC3A98">
        <w:rPr>
          <w:rFonts w:ascii="宋体" w:eastAsia="宋体" w:hAnsi="宋体" w:cs="宋体"/>
          <w:b/>
          <w:color w:val="FF0000"/>
          <w:szCs w:val="21"/>
        </w:rPr>
        <w:t>10.3389/fcimb.2025.1592216. 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Metagenomic sequencing for identification of nontuberculous mycobacteria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other pathogens in patients with mixed infection of the lung.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Yu J(1), Lv X(1), Wang Q(1), Gao M(2), Li W(1).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0745CB" w:rsidRPr="000745CB" w:rsidRDefault="000745CB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0745CB">
        <w:rPr>
          <w:rFonts w:ascii="宋体" w:eastAsia="宋体" w:hAnsi="宋体" w:cs="宋体"/>
          <w:b/>
          <w:color w:val="0070C0"/>
          <w:szCs w:val="21"/>
        </w:rPr>
        <w:t>Jinyan Yu, Xuejiao Lv, Qi Wang, Mingyue Gao, Wei Li</w:t>
      </w:r>
      <w:r w:rsidRPr="000745C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0745CB" w:rsidRPr="000745CB" w:rsidRDefault="000745CB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0745CB">
        <w:rPr>
          <w:rFonts w:ascii="宋体" w:eastAsia="宋体" w:hAnsi="宋体" w:cs="宋体"/>
          <w:b/>
          <w:color w:val="0070C0"/>
          <w:szCs w:val="21"/>
        </w:rPr>
        <w:t>*CORRESPONDENCE Wei Li</w:t>
      </w:r>
      <w:r w:rsidRPr="000745CB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0745CB">
        <w:rPr>
          <w:rFonts w:ascii="宋体" w:eastAsia="宋体" w:hAnsi="宋体" w:cs="宋体"/>
          <w:b/>
          <w:color w:val="0070C0"/>
          <w:szCs w:val="21"/>
        </w:rPr>
        <w:t>liwei1417@jlu.edu.cn</w:t>
      </w:r>
    </w:p>
    <w:p w:rsidR="000745CB" w:rsidRPr="002E3956" w:rsidRDefault="000745CB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Respiratory and Critical Care Medicine, The Second Hospital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Jilin University, Changchun, Jilin,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Nuclear Medicine, The Second Hospital of Jilin University,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Changchun, Jilin,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lastRenderedPageBreak/>
        <w:t>BACKGROUND: I</w:t>
      </w:r>
      <w:r w:rsidRPr="002E3956">
        <w:rPr>
          <w:rFonts w:ascii="宋体" w:eastAsia="宋体" w:hAnsi="宋体" w:cs="宋体"/>
          <w:szCs w:val="21"/>
        </w:rPr>
        <w:t xml:space="preserve">t can be difficult to distinguish lung disease caused by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nontuberculous mycobacteria (NTM), Mycobacterium tuberculosis, and mixed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infections (MIs) that include NTM. Metagenomic next generation sequencing (mNGS)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is a highly sensitive method that can reliably identify lung pathogens. We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retrospectively analyzed the records of patients who had MIs of the lungs that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included NTM and received mNGS testing.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The records of 36 patients who were diagnosed with NTM infection of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lungs at the Second Hospital of Jilin University from Nov 2023 to Jun 2024 were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analyzed. Initial empirical treatments were ineffective in all patients, leading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to the application of mNGS of bronchoalveolar lavage fluid (BALF).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>RESULTS:</w:t>
      </w:r>
      <w:r w:rsidRPr="002E3956">
        <w:rPr>
          <w:rFonts w:ascii="宋体" w:eastAsia="宋体" w:hAnsi="宋体" w:cs="宋体"/>
          <w:szCs w:val="21"/>
        </w:rPr>
        <w:t xml:space="preserve"> The average patient age was 62.4 years, 22 patients had one or more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underlying chronic disease, and all patients had at least one respiratory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symptom (cough, sputum production, fever, or dyspnea). Chest CT examinations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showed that patients had different degrees of pneumonia and pleural effusion.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Among tested patients, there were elevated levels of erythrocyte sedimentation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rate in 81.8% (18/22) and elevated C-reactive protein in 90.5% (19/21). There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were variable results from acid-fast staining of bronchoalveolar lavage fluid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(BALF; 3/36, 8.3%), and transbronchial lung biopsy (TBLB; 5/14, 35.7%). mNGS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identified seven NTM species. Treatment based on the mNGS results led to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resolution of clinical symptoms and absorption of lung lesions in all patients.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>CONCLUSIONS</w:t>
      </w:r>
      <w:r w:rsidRPr="002E3956">
        <w:rPr>
          <w:rFonts w:ascii="宋体" w:eastAsia="宋体" w:hAnsi="宋体" w:cs="宋体"/>
          <w:szCs w:val="21"/>
        </w:rPr>
        <w:t xml:space="preserve">: Most of the 36 patients with MIs of the lungs that included NTM had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underlying diseases. The results of traditional tests, including sputum or BALF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culture and smear, acute phase markers, and TBLB pathological examination, were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problematic. mNGS provides rapid and reliable diagnosis, allowing the rapid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implementation of appropriate therapy in patients with MIs of the lungs that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include NTM.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Yu, Lv, Wang, Gao and Li.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10.3389/fcimb.2025.1592216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PMC12222058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40612390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AC3A98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14</w:t>
      </w:r>
      <w:r w:rsidR="001A6248" w:rsidRPr="00AC3A98">
        <w:rPr>
          <w:rFonts w:ascii="宋体" w:eastAsia="宋体" w:hAnsi="宋体" w:cs="宋体"/>
          <w:b/>
          <w:color w:val="FF0000"/>
          <w:szCs w:val="21"/>
        </w:rPr>
        <w:t xml:space="preserve">. Sage Open Pediatr. 2025 Jun 20;12:30502225251346345. doi: </w:t>
      </w:r>
    </w:p>
    <w:p w:rsidR="001A6248" w:rsidRPr="00AC3A98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AC3A98">
        <w:rPr>
          <w:rFonts w:ascii="宋体" w:eastAsia="宋体" w:hAnsi="宋体" w:cs="宋体"/>
          <w:b/>
          <w:color w:val="FF0000"/>
          <w:szCs w:val="21"/>
        </w:rPr>
        <w:t>10.1177/30502225251346345. eCollection 2025 Jan-Dec.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Clinical Characteristics and Outcomes of Severe Adverse Reactions to Bacille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Calmette-Guérin (BCG) Vaccination in China: A Single-Center Retrospective Study.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Huang S(1), Cheng F(2), Guo H(1), Zheng S(1).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0745CB" w:rsidRPr="000745CB" w:rsidRDefault="000745CB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0745CB">
        <w:rPr>
          <w:rFonts w:ascii="宋体" w:eastAsia="宋体" w:hAnsi="宋体" w:cs="宋体"/>
          <w:b/>
          <w:color w:val="0070C0"/>
          <w:szCs w:val="21"/>
        </w:rPr>
        <w:t>Shaomei Huang, Fenggang Cheng, Huilian Guo, Shengkun Zheng</w:t>
      </w:r>
      <w:r w:rsidRPr="000745C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0745CB" w:rsidRPr="000745CB" w:rsidRDefault="000745CB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0745CB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745CB">
        <w:rPr>
          <w:rFonts w:ascii="宋体" w:eastAsia="宋体" w:hAnsi="宋体" w:cs="宋体"/>
          <w:b/>
          <w:color w:val="0070C0"/>
          <w:szCs w:val="21"/>
        </w:rPr>
        <w:t>Corresponding Author: Shengkun Zheng, Email: yikun4738@163.com</w:t>
      </w:r>
    </w:p>
    <w:p w:rsidR="000745CB" w:rsidRDefault="000745CB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Pediatrics, Guangzhou Chest Hospital, Guangzhou, Guangdong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Province,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Dermatology, Guangzhou Chest Hospital, Guangzhou, Guangdong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Province,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>OBJECTIVES:</w:t>
      </w:r>
      <w:r w:rsidRPr="002E3956">
        <w:rPr>
          <w:rFonts w:ascii="宋体" w:eastAsia="宋体" w:hAnsi="宋体" w:cs="宋体"/>
          <w:szCs w:val="21"/>
        </w:rPr>
        <w:t xml:space="preserve"> This study investigated the clinical features, treatment approaches,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outcomes of severe Bacille Calmette-Guérin (BCG) vaccine complications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Chinese children.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 xml:space="preserve">INTRODUCTION: </w:t>
      </w:r>
      <w:r w:rsidRPr="002E3956">
        <w:rPr>
          <w:rFonts w:ascii="宋体" w:eastAsia="宋体" w:hAnsi="宋体" w:cs="宋体"/>
          <w:szCs w:val="21"/>
        </w:rPr>
        <w:t xml:space="preserve">BCG is the only available vaccine for tuberculosis (TB) prevention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but can cause serious complications such as local abscesses, lymphadenitis,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disseminated BCG. Research on their management in China is limited.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 xml:space="preserve">METHODS: </w:t>
      </w:r>
      <w:r w:rsidRPr="002E3956">
        <w:rPr>
          <w:rFonts w:ascii="宋体" w:eastAsia="宋体" w:hAnsi="宋体" w:cs="宋体"/>
          <w:szCs w:val="21"/>
        </w:rPr>
        <w:t xml:space="preserve">This observational study reviewed 95 children with severe BCG-related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complications treated at a tuberculosis-specialized hospital in Guangdong, China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(2016-2020). Of these, 33 (34.7%) had injection site reactions, 55 (57.9%)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developed lymphadenitis with 31 suppurative cases, and 7 (7.4%) had disseminated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BCG. All deep abscesses and suppurative lymphadenitis were successfully treated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with surgery and anti-tubercular therapy. Two disseminated BCG cases had primary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immunodeficiency, and 1 of them died.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>CONCLUSION:</w:t>
      </w:r>
      <w:r w:rsidRPr="002E3956">
        <w:rPr>
          <w:rFonts w:ascii="宋体" w:eastAsia="宋体" w:hAnsi="宋体" w:cs="宋体"/>
          <w:szCs w:val="21"/>
        </w:rPr>
        <w:t xml:space="preserve"> Most local reactions respond to conservative treatment. Surgery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combined with anti-tubercular therapy is effective for suppurative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lymphadenitis. Early immunological evaluation is essential for disseminated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disease.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The Author(s)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10.1177/30502225251346345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PMC12220855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40612176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 xml:space="preserve">5. Front Immunol. 2025 Jun 18;16:1605827. doi: 10.3389/fimmu.2025.1605827.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Single-cell analysis of peripheral blood and pleural effusion reveals functional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diversity of γδ T cells in tuberculosis infection.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Feng Y(#)(1), Chen Y(#)(2), Zhang W(#)(1), Shen X(1), Yan J(1), Yao L(1), Zhang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L(1), Niu Y(1), Zhang J(1), Tang P(1), Ling C(1).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E17002" w:rsidRPr="00235199" w:rsidRDefault="00E17002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235199">
        <w:rPr>
          <w:rFonts w:ascii="宋体" w:eastAsia="宋体" w:hAnsi="宋体" w:cs="宋体"/>
          <w:b/>
          <w:color w:val="0070C0"/>
          <w:szCs w:val="21"/>
        </w:rPr>
        <w:t>Yanjun Feng, Yu Chen, Wanying Zhang, Xinghua Shen, Jinyu Yan, Lin Yao, Lijuan Zhang, Yayan Niu</w:t>
      </w:r>
      <w:r w:rsidRPr="0023519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35199">
        <w:rPr>
          <w:rFonts w:ascii="宋体" w:eastAsia="宋体" w:hAnsi="宋体" w:cs="宋体"/>
          <w:b/>
          <w:color w:val="0070C0"/>
          <w:szCs w:val="21"/>
        </w:rPr>
        <w:t>, Jianping Zhang</w:t>
      </w:r>
      <w:r w:rsidRPr="0023519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35199">
        <w:rPr>
          <w:rFonts w:ascii="宋体" w:eastAsia="宋体" w:hAnsi="宋体" w:cs="宋体"/>
          <w:b/>
          <w:color w:val="0070C0"/>
          <w:szCs w:val="21"/>
        </w:rPr>
        <w:t>, Peijun Tang</w:t>
      </w:r>
      <w:r w:rsidRPr="0023519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35199">
        <w:rPr>
          <w:rFonts w:ascii="宋体" w:eastAsia="宋体" w:hAnsi="宋体" w:cs="宋体"/>
          <w:b/>
          <w:color w:val="0070C0"/>
          <w:szCs w:val="21"/>
        </w:rPr>
        <w:t>, Chunhua Ling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17002" w:rsidRPr="00235199" w:rsidRDefault="00E17002" w:rsidP="00235199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235199">
        <w:rPr>
          <w:rFonts w:ascii="宋体" w:eastAsia="宋体" w:hAnsi="宋体" w:cs="宋体"/>
          <w:b/>
          <w:color w:val="0070C0"/>
          <w:szCs w:val="21"/>
        </w:rPr>
        <w:t>*CORRESPONDENCE Yayan Niu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235199">
        <w:rPr>
          <w:rFonts w:ascii="宋体" w:eastAsia="宋体" w:hAnsi="宋体" w:cs="宋体"/>
          <w:b/>
          <w:color w:val="0070C0"/>
          <w:szCs w:val="21"/>
        </w:rPr>
        <w:t xml:space="preserve"> yayanniu@163.com 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235199">
        <w:rPr>
          <w:rFonts w:ascii="宋体" w:eastAsia="宋体" w:hAnsi="宋体" w:cs="宋体"/>
          <w:b/>
          <w:color w:val="0070C0"/>
          <w:szCs w:val="21"/>
        </w:rPr>
        <w:t>Jianping Zhang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235199">
        <w:rPr>
          <w:rFonts w:ascii="宋体" w:eastAsia="宋体" w:hAnsi="宋体" w:cs="宋体"/>
          <w:b/>
          <w:color w:val="0070C0"/>
          <w:szCs w:val="21"/>
        </w:rPr>
        <w:t xml:space="preserve"> zhangjianping_yb@suda.edu.cn 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235199">
        <w:rPr>
          <w:rFonts w:ascii="宋体" w:eastAsia="宋体" w:hAnsi="宋体" w:cs="宋体"/>
          <w:b/>
          <w:color w:val="0070C0"/>
          <w:szCs w:val="21"/>
        </w:rPr>
        <w:t>Peijun Tang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235199">
        <w:rPr>
          <w:rFonts w:ascii="宋体" w:eastAsia="宋体" w:hAnsi="宋体" w:cs="宋体"/>
          <w:b/>
          <w:color w:val="0070C0"/>
          <w:szCs w:val="21"/>
        </w:rPr>
        <w:t xml:space="preserve"> tangpeipei001@163.com 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235199">
        <w:rPr>
          <w:rFonts w:ascii="宋体" w:eastAsia="宋体" w:hAnsi="宋体" w:cs="宋体"/>
          <w:b/>
          <w:color w:val="0070C0"/>
          <w:szCs w:val="21"/>
        </w:rPr>
        <w:t>Chunhua Ling</w:t>
      </w:r>
      <w:r w:rsidR="00235199" w:rsidRPr="0023519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235199">
        <w:rPr>
          <w:rFonts w:ascii="宋体" w:eastAsia="宋体" w:hAnsi="宋体" w:cs="宋体"/>
          <w:b/>
          <w:color w:val="0070C0"/>
          <w:szCs w:val="21"/>
        </w:rPr>
        <w:t xml:space="preserve"> lingchunhua88@126.com</w:t>
      </w:r>
    </w:p>
    <w:p w:rsidR="00E17002" w:rsidRDefault="00E17002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Pulmonary and Critical Care Medicine, The First Affiliated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Hospital/Department of Tuberculosis, The Fifth People's Hospital of Suzhou &amp;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Affiliated Infectious Diseases Hospital, Suzhou Medical College of Soochow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Suzhou,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Biochemistry and Molecular Biology, School of Biology and Basic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Medical Sciences, Suzhou Medical College of Soochow University, Suzhou,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INTRODUCTION: </w:t>
      </w:r>
      <w:r w:rsidRPr="002E3956">
        <w:rPr>
          <w:rFonts w:ascii="宋体" w:eastAsia="宋体" w:hAnsi="宋体" w:cs="宋体"/>
          <w:szCs w:val="21"/>
        </w:rPr>
        <w:t xml:space="preserve">Tuberculosis is a contagious airborne disease caused by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Mycobacterium tuberculosis infection. γδ T cells are closely associated with TB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infection; however, the specific role of γδ T cell</w:t>
      </w:r>
      <w:r w:rsidR="00F46B33">
        <w:rPr>
          <w:rFonts w:ascii="宋体" w:eastAsia="宋体" w:hAnsi="宋体" w:cs="宋体"/>
          <w:szCs w:val="21"/>
        </w:rPr>
        <w:t xml:space="preserve">s in the immune response to TB </w:t>
      </w:r>
      <w:r w:rsidRPr="002E3956">
        <w:rPr>
          <w:rFonts w:ascii="宋体" w:eastAsia="宋体" w:hAnsi="宋体" w:cs="宋体"/>
          <w:szCs w:val="21"/>
        </w:rPr>
        <w:t xml:space="preserve">remains unclear, as does the differentiation and </w:t>
      </w:r>
      <w:r w:rsidR="00F46B33">
        <w:rPr>
          <w:rFonts w:ascii="宋体" w:eastAsia="宋体" w:hAnsi="宋体" w:cs="宋体"/>
          <w:szCs w:val="21"/>
        </w:rPr>
        <w:t xml:space="preserve">mechanism of γδ T cell subsets </w:t>
      </w:r>
      <w:r w:rsidRPr="002E3956">
        <w:rPr>
          <w:rFonts w:ascii="宋体" w:eastAsia="宋体" w:hAnsi="宋体" w:cs="宋体"/>
          <w:szCs w:val="21"/>
        </w:rPr>
        <w:t>in TB patients.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We analyzed the characteristics of γδ T subsets in the peripheral blood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(Peripheral Blood Mononuclear Cells,PBMC) and pleural effusions (Tuberculous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pleural effusion,TPE) and pleural effusions of TB patients using single-cell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sequencing to explore the distribution and characteristics of different γδ 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subpopulations.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RESULTS:</w:t>
      </w:r>
      <w:r w:rsidRPr="002E3956">
        <w:rPr>
          <w:rFonts w:ascii="宋体" w:eastAsia="宋体" w:hAnsi="宋体" w:cs="宋体"/>
          <w:szCs w:val="21"/>
        </w:rPr>
        <w:t xml:space="preserve"> Seven γδ Tcell subpopulations were identified. The highest percentage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effector γδ2 cell cluster (C1) was found in PBMCs from TPE patients,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accounting for 36.1%, while the highest percentage of tissue-resident γδ2 cell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cluster (C0) was found in PFMCs, reaching 70.5%. Through in-depth analysis, we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identified a group of Vδ2 cells exhibiting strong effector function and high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expression of FCGR3A.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DISCUSSION: </w:t>
      </w:r>
      <w:r w:rsidRPr="002E3956">
        <w:rPr>
          <w:rFonts w:ascii="宋体" w:eastAsia="宋体" w:hAnsi="宋体" w:cs="宋体"/>
          <w:szCs w:val="21"/>
        </w:rPr>
        <w:t xml:space="preserve">Therefore, exploring the mechanism of interaction between Vδ2 cells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Mtb, as well as understanding host immune regulation during Mtb infection,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can not only enhance the understanding of the immune mechanism underlying TB but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also provide new theoretical ideas. This research may offer novel therapeutic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targets for TB and innovative strategies for treatment and prevention.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Copyright © 2025 Feng, Chen, Zhang, Shen, Yan, Yao, Zhang, Niu, Zhang, Tang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Ling.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10.3389/fimmu.2025.1605827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PMC12213264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40607390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>6. Int J Gen Med. 2025 Jun 28;18:3547-3556. doi: 10.</w:t>
      </w:r>
      <w:r w:rsidR="00F46B33">
        <w:rPr>
          <w:rFonts w:ascii="宋体" w:eastAsia="宋体" w:hAnsi="宋体" w:cs="宋体"/>
          <w:b/>
          <w:color w:val="FF0000"/>
          <w:szCs w:val="21"/>
        </w:rPr>
        <w:t xml:space="preserve">2147/IJGM.S522251. eCollection 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>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Correlation Between Serum Inflammatory Factor Level Changes and Disease Severity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 Patients with Chronic Obstructive Pulmonary Disease Complicated by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Tuberculosis.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 Y(#)(1), Yang F(#)(2), Che C(3), Xu S(4), Qi Y(3).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581A8F" w:rsidRPr="00581A8F" w:rsidRDefault="00581A8F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581A8F">
        <w:rPr>
          <w:rFonts w:ascii="宋体" w:eastAsia="宋体" w:hAnsi="宋体" w:cs="宋体"/>
          <w:b/>
          <w:color w:val="0070C0"/>
          <w:szCs w:val="21"/>
        </w:rPr>
        <w:t>Yiyao Di, Fan Yang, Conglu Che</w:t>
      </w:r>
      <w:r w:rsidRPr="00581A8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81A8F">
        <w:rPr>
          <w:rFonts w:ascii="宋体" w:eastAsia="宋体" w:hAnsi="宋体" w:cs="宋体"/>
          <w:b/>
          <w:color w:val="0070C0"/>
          <w:szCs w:val="21"/>
        </w:rPr>
        <w:t>, Shenghui Xu, Ying Qi</w:t>
      </w:r>
    </w:p>
    <w:p w:rsidR="00581A8F" w:rsidRPr="00581A8F" w:rsidRDefault="00581A8F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581A8F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81A8F">
        <w:rPr>
          <w:rFonts w:ascii="宋体" w:eastAsia="宋体" w:hAnsi="宋体" w:cs="宋体"/>
          <w:b/>
          <w:color w:val="0070C0"/>
          <w:szCs w:val="21"/>
        </w:rPr>
        <w:t>Correspondence: Conglu Che, Email checonglu2019@163.com</w:t>
      </w:r>
    </w:p>
    <w:p w:rsidR="00581A8F" w:rsidRDefault="00581A8F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(1)Respiratory Department, Affiliated Hospital of Hebei University, Baoding,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Hebei,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(2)Emergency Department II, Baoding First Central Hospital, Baoding, Hebei,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(3)Tuberculosis Department, Affiliated Hospital of Hebei University, Baoding,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Hebei,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(4)Tuberculosis Department, Second Hospital of Shijiazhuang, Shijiazhuang,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Hebei,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BACKGROUND:</w:t>
      </w:r>
      <w:r w:rsidRPr="002E3956">
        <w:rPr>
          <w:rFonts w:ascii="宋体" w:eastAsia="宋体" w:hAnsi="宋体" w:cs="宋体"/>
          <w:szCs w:val="21"/>
        </w:rPr>
        <w:t xml:space="preserve"> The coexistence of chronic obstructive pulmonary disease (COPD)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(TB) complicates diagnosis and treatment, increasing disease burden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mortality. The correlation between serum inflammatory factors and disease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severity and prognosis in COPD patients with TB remains unclear.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METHODS: </w:t>
      </w:r>
      <w:r w:rsidRPr="002E3956">
        <w:rPr>
          <w:rFonts w:ascii="宋体" w:eastAsia="宋体" w:hAnsi="宋体" w:cs="宋体"/>
          <w:szCs w:val="21"/>
        </w:rPr>
        <w:t xml:space="preserve">This retrospective study included 200 participants treated at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Affiliated Hospital of Hebei University from December 2020 to December 2022: 80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with COPD and TB, 40 with COPD alone, 40 with TB alone, and 40 healthy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controls. Serum levels of tumor necrosis factor-α </w:t>
      </w:r>
      <w:r w:rsidR="00F46B33">
        <w:rPr>
          <w:rFonts w:ascii="宋体" w:eastAsia="宋体" w:hAnsi="宋体" w:cs="宋体"/>
          <w:szCs w:val="21"/>
        </w:rPr>
        <w:t xml:space="preserve">(TNF-α), interleukin-6 (IL-6), </w:t>
      </w:r>
      <w:r w:rsidRPr="002E3956">
        <w:rPr>
          <w:rFonts w:ascii="宋体" w:eastAsia="宋体" w:hAnsi="宋体" w:cs="宋体"/>
          <w:szCs w:val="21"/>
        </w:rPr>
        <w:t xml:space="preserve">interferon-γ (IFN-γ), soluble IL-2 receptor (sIL-2R), and C-reactive protein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(CRP) were compared across groups and correlated with disease severity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prognosis in COPD patients with TB.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Serum levels of TNF-α, IL-6, IFN-γ, sIL-2R, and CRP were significantly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higher in the COPD with TB group compared to all other groups (P&lt;0.05). In this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group, elevated levels of these markers were associated with increased disease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severity and poorer prognosis (P&lt;0.05). Correlation analysis showed positive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associations between inflammatory cytokine levels and disease severity,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negative associations with prognosis (P&lt;0.05).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CONCLUSION:</w:t>
      </w:r>
      <w:r w:rsidRPr="002E3956">
        <w:rPr>
          <w:rFonts w:ascii="宋体" w:eastAsia="宋体" w:hAnsi="宋体" w:cs="宋体"/>
          <w:szCs w:val="21"/>
        </w:rPr>
        <w:t xml:space="preserve"> Serum inflammatory markers may help assess disease severity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prognosis in COPD patients with TB. However, due to the observational design,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causality cannot be inferred. Further prospective, multi-center studies are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required to validate these findings before clinical application.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 Di et al.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10.2147/IJGM.S522251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PMC12219164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PMID: 40607012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 xml:space="preserve">7. Front Cell Infect Microbiol. 2025 Jun 18;15:1573643. doi: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10.3389/fcimb.2025.1573643. 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Type VII secretion system gene mutations driving global mycobacterium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tuberculosis transmission revealed by whole genomic sequence.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Yang JJ(1)(2), Hu YL(1), Sun PY(3), Wang L(4), Xie XJ(2), Wang TT(2).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676B8E" w:rsidRPr="00676B8E" w:rsidRDefault="00676B8E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676B8E">
        <w:rPr>
          <w:rFonts w:ascii="宋体" w:eastAsia="宋体" w:hAnsi="宋体" w:cs="宋体"/>
          <w:b/>
          <w:color w:val="0070C0"/>
          <w:szCs w:val="21"/>
        </w:rPr>
        <w:t>Jian-Jun Yang, Yuan-Long Hu, Ping-Yi Sun, Ling Wang, Xian-Jin Xie</w:t>
      </w:r>
      <w:r w:rsidRPr="00676B8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76B8E">
        <w:rPr>
          <w:rFonts w:ascii="宋体" w:eastAsia="宋体" w:hAnsi="宋体" w:cs="宋体"/>
          <w:b/>
          <w:color w:val="0070C0"/>
          <w:szCs w:val="21"/>
        </w:rPr>
        <w:t>, Ting-Ting Wang</w:t>
      </w:r>
      <w:r w:rsidRPr="00676B8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76B8E" w:rsidRPr="00676B8E" w:rsidRDefault="00676B8E" w:rsidP="00676B8E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676B8E">
        <w:rPr>
          <w:rFonts w:ascii="宋体" w:eastAsia="宋体" w:hAnsi="宋体" w:cs="宋体"/>
          <w:b/>
          <w:color w:val="0070C0"/>
          <w:szCs w:val="21"/>
        </w:rPr>
        <w:t>*CORRESPONDENCE Xian-Jin Xie</w:t>
      </w:r>
      <w:r w:rsidRPr="00676B8E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76B8E">
        <w:rPr>
          <w:rFonts w:ascii="宋体" w:eastAsia="宋体" w:hAnsi="宋体" w:cs="宋体"/>
          <w:b/>
          <w:color w:val="0070C0"/>
          <w:szCs w:val="21"/>
        </w:rPr>
        <w:t xml:space="preserve">doctorxxj@163.com </w:t>
      </w:r>
      <w:r w:rsidRPr="00676B8E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676B8E">
        <w:rPr>
          <w:rFonts w:ascii="宋体" w:eastAsia="宋体" w:hAnsi="宋体" w:cs="宋体"/>
          <w:b/>
          <w:color w:val="0070C0"/>
          <w:szCs w:val="21"/>
        </w:rPr>
        <w:t>Ting-Ting Wang</w:t>
      </w:r>
      <w:r w:rsidRPr="00676B8E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76B8E">
        <w:rPr>
          <w:rFonts w:ascii="宋体" w:eastAsia="宋体" w:hAnsi="宋体" w:cs="宋体"/>
          <w:b/>
          <w:color w:val="0070C0"/>
          <w:szCs w:val="21"/>
        </w:rPr>
        <w:t xml:space="preserve"> 1184961771@qq.com</w:t>
      </w:r>
    </w:p>
    <w:p w:rsidR="00676B8E" w:rsidRDefault="00676B8E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(1)Shandong University of Traditional Chinese Medicine, Jinan,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(2)Shandong Provincial Third Hospital, Shandong University, Jinan,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Shandong,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(3)College of Integrated Chinese and Western Medicine, Jining 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Jining,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(4)Intensive Care Unit, People's Hospital of Huaiyin Jinan, Jinan,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Pathogenic mycobacteria are able to transfer virulence factors across their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complex cell wall using a type VII secretion system (T7SS)/early secreted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antigenic target-6 of the kDa secretion system (ESX). Since the discovery of ESX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loci during the Mycobacterium tuberculosis H37Rv genome project, extensive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research in areas such as structural biology, cell biology, and evolutionary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analysis has improved our understanding of the role of these systems. However,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regulatory mechanisms for ESX in Mycobacterium tuberculosis remain elusive.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Despite extensive research, the effects of ESX gene mutations on the dynamics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Mycobacterium tuberculosis transmission are not well understood. In this study,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 investigated the role of ESX mutations in TB transmission, assessing their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risk and characteristics. We analyzed 13582 whole genome sequences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Mycobacterium tuberculosis isolates, of which 6130 (45.13%) were clustered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strains. Initially, Boruta algorithm was used to pinpoint SNPs that were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significant for TB transmission. These SNPs were then subjected to univariate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multivariate logistic regression analysis to determine the significance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each SNP. The intersection of these two independent methods was recognized as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optimal set of risk mutations for TB transmission. Specifically, we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identified one risk mutation (espA(Rv3616c, 4055801)) in L1, four risk mutations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(espK(Rv3879c, 4357597), esxU(Rv3445c, 3863138), esxO(Rv2346c, 2626018),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esxW(Rv3620c, 4060588)) in L2, and four risk mutations (eccE1(Rv3882c, 4362807),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espE(Rv3864, 4340330), espA(Rv3616c, 4055993), and eccC5(Rv1783, 2019942))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L4. These risk mutations were significantly associated with clustering,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potentially increasing TB transmission. Our findings suggest that mutations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ESX genes play a crucial role in Mycobacterium tuberculosis transmission. These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results can be applied to the development of novel strategies for the treatment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and prevention of disease.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Yang, Hu, Sun, Wang, Xie and Wang.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10.3389/fcimb.2025.1573643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PMC12213627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40606626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18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 xml:space="preserve">. Front Public Health. 2025 Jun 17;13:1599274. doi: 10.3389/fpubh.2025.1599274.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Spatiotemporal analysis of pulmonary tuberculosis in the central region of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Zhejiang Province, China (2016-2024).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Zhang K(1), Yang Z(1), Sun J(1), Liu K(2), Lu Q(1).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A72106" w:rsidRPr="00676B8E" w:rsidRDefault="00A72106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676B8E">
        <w:rPr>
          <w:rFonts w:ascii="宋体" w:eastAsia="宋体" w:hAnsi="宋体" w:cs="宋体"/>
          <w:b/>
          <w:color w:val="0070C0"/>
          <w:szCs w:val="21"/>
        </w:rPr>
        <w:t>Kaixuan Zhang, Zuokai Yang, Jiamei Sun, Kui Liu</w:t>
      </w:r>
      <w:r w:rsidR="00676B8E" w:rsidRPr="00676B8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76B8E">
        <w:rPr>
          <w:rFonts w:ascii="宋体" w:eastAsia="宋体" w:hAnsi="宋体" w:cs="宋体"/>
          <w:b/>
          <w:color w:val="0070C0"/>
          <w:szCs w:val="21"/>
        </w:rPr>
        <w:t>, Qiaoling Lu</w:t>
      </w:r>
      <w:r w:rsidR="00676B8E" w:rsidRPr="00676B8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A72106" w:rsidRPr="00676B8E" w:rsidRDefault="00A72106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676B8E">
        <w:rPr>
          <w:rFonts w:ascii="宋体" w:eastAsia="宋体" w:hAnsi="宋体" w:cs="宋体"/>
          <w:b/>
          <w:color w:val="0070C0"/>
          <w:szCs w:val="21"/>
        </w:rPr>
        <w:t>*CORRESPONDENCE Kui Liu</w:t>
      </w:r>
      <w:r w:rsidR="00676B8E" w:rsidRPr="00676B8E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76B8E">
        <w:rPr>
          <w:rFonts w:ascii="宋体" w:eastAsia="宋体" w:hAnsi="宋体" w:cs="宋体"/>
          <w:b/>
          <w:color w:val="0070C0"/>
          <w:szCs w:val="21"/>
        </w:rPr>
        <w:t xml:space="preserve">kliu@cdc.zj.cn </w:t>
      </w:r>
      <w:r w:rsidR="00676B8E" w:rsidRPr="00676B8E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676B8E">
        <w:rPr>
          <w:rFonts w:ascii="宋体" w:eastAsia="宋体" w:hAnsi="宋体" w:cs="宋体"/>
          <w:b/>
          <w:color w:val="0070C0"/>
          <w:szCs w:val="21"/>
        </w:rPr>
        <w:t>Qiaoling Lu</w:t>
      </w:r>
      <w:r w:rsidR="00676B8E" w:rsidRPr="00676B8E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76B8E">
        <w:rPr>
          <w:rFonts w:ascii="宋体" w:eastAsia="宋体" w:hAnsi="宋体" w:cs="宋体"/>
          <w:b/>
          <w:color w:val="0070C0"/>
          <w:szCs w:val="21"/>
        </w:rPr>
        <w:t>luqiaolin@163.com</w:t>
      </w:r>
    </w:p>
    <w:p w:rsidR="00A72106" w:rsidRDefault="00A72106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Tuberculosis Control and Prevention, Shaoxing City Center for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Disease Control and Prevention, Shaoxing,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Public Health Surveillance and Advisory, Zhejiang Provincial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Science and Technology Program for Disease Prevention and Control (2025JK298),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Hangzhou,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BACKGROUND:</w:t>
      </w:r>
      <w:r w:rsidRPr="002E3956">
        <w:rPr>
          <w:rFonts w:ascii="宋体" w:eastAsia="宋体" w:hAnsi="宋体" w:cs="宋体"/>
          <w:szCs w:val="21"/>
        </w:rPr>
        <w:t xml:space="preserve"> In recent years, Shaoxing City, located in central Zhejiang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Province, has experienced a slow decline in the incidence of pulmonary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(PTB). Therefore, there is an urgent need to elucidate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potential causes for this decline through spatiotemporal analyses to provide a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scientific basis for targeted prevention and control. We aimed to explore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spatiotemporal distribution of PTB notification rates in Shaoxing City from 2016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2024 and identify high-incidence clusters, thereby offering data-driven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insights to optimize regional PTB control strategies.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Statistical analyses were conducted using R and Excel on all reported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active PTB cases in Shaoxing City. Spatiotemporal analysis of case distribution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and regional clustering was conducted using ArcGIS and SatScan.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RESULTS AND DISCUSSION: </w:t>
      </w:r>
      <w:r w:rsidRPr="002E3956">
        <w:rPr>
          <w:rFonts w:ascii="宋体" w:eastAsia="宋体" w:hAnsi="宋体" w:cs="宋体"/>
          <w:szCs w:val="21"/>
        </w:rPr>
        <w:t xml:space="preserve">In total, 17,298 active PTB cases were registered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between 2016 and 2024, including 9,749 laboratory-confirmed and 7,549 clinically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diagnosed cases. The male-to-female ratio was 2.34:1. Farmers represented 68.2%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of all cases. The PTB notification incidence showed a gradual decline. Spatial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autocorrelation results revealed 52 sub-districts with high-high clusters over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nine-year period, primarily in Shengzhou and Xinchang counties.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Spatiotemporal scan analysis identified one primary cluster area (RR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 xml:space="preserve">1.62,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LLR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170.87, p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 xml:space="preserve">0.001) and two secondary clusters between 2016 and 2024.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incidence of PTB in Shaoxing City showed a downward trend, though the decline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was relatively slow. The southeastern region should be prioritized in efforts to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accelerate the End TB Strategy. Overall, comprehensive and intensive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interventions, such as large-scale chest X-ray screening and health education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programs, should be enhanced to effectively curb PTB transmission, especially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among males and farmers.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Zhang, Yang, Sun, Liu and Lu.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10.3389/fpubh.2025.1599274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PMC12209324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40600152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1</w:t>
      </w:r>
      <w:r w:rsidR="00503BEE">
        <w:rPr>
          <w:rFonts w:ascii="宋体" w:eastAsia="宋体" w:hAnsi="宋体" w:cs="宋体"/>
          <w:b/>
          <w:color w:val="FF0000"/>
          <w:szCs w:val="21"/>
        </w:rPr>
        <w:t>9</w:t>
      </w:r>
      <w:r w:rsidRPr="00F46B33">
        <w:rPr>
          <w:rFonts w:ascii="宋体" w:eastAsia="宋体" w:hAnsi="宋体" w:cs="宋体"/>
          <w:b/>
          <w:color w:val="FF0000"/>
          <w:szCs w:val="21"/>
        </w:rPr>
        <w:t xml:space="preserve">. Front Immunol. 2025 Jun 17;16:1606311. doi: 10.3389/fimmu.2025.1606311.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PE/PPE family proteins of Mycobacterium tuberculosis: evolution, function,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and prospects for tuberculosis control.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Zhang Z(#)(1)(2), Dong L(#)(3), Li X(4), Deng T(4), Wang Q(1).</w:t>
      </w:r>
    </w:p>
    <w:p w:rsidR="00FE3B43" w:rsidRDefault="00FE3B43" w:rsidP="001A6248">
      <w:pPr>
        <w:rPr>
          <w:rFonts w:ascii="宋体" w:eastAsia="宋体" w:hAnsi="宋体" w:cs="宋体"/>
          <w:szCs w:val="21"/>
        </w:rPr>
      </w:pPr>
    </w:p>
    <w:p w:rsidR="00FE3B43" w:rsidRPr="00025645" w:rsidRDefault="00FE3B43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025645">
        <w:rPr>
          <w:rFonts w:ascii="宋体" w:eastAsia="宋体" w:hAnsi="宋体" w:cs="宋体"/>
          <w:b/>
          <w:color w:val="0070C0"/>
          <w:szCs w:val="21"/>
        </w:rPr>
        <w:t>Zhijing Zhang, Le Dong, Xin Li, Taibing Deng, Qinglan Wang</w:t>
      </w:r>
      <w:r w:rsidR="00025645" w:rsidRPr="0002564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FE3B43" w:rsidRPr="00025645" w:rsidRDefault="00025645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025645">
        <w:rPr>
          <w:rFonts w:ascii="宋体" w:eastAsia="宋体" w:hAnsi="宋体" w:cs="宋体"/>
          <w:b/>
          <w:color w:val="0070C0"/>
          <w:szCs w:val="21"/>
        </w:rPr>
        <w:t>*CORRESPONDENCE Qinglan Wang</w:t>
      </w:r>
      <w:r w:rsidRPr="0002564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025645">
        <w:rPr>
          <w:rFonts w:ascii="宋体" w:eastAsia="宋体" w:hAnsi="宋体" w:cs="宋体"/>
          <w:b/>
          <w:color w:val="0070C0"/>
          <w:szCs w:val="21"/>
        </w:rPr>
        <w:t>wangqinglan@scu.edu.cn</w:t>
      </w:r>
    </w:p>
    <w:p w:rsidR="00FE3B43" w:rsidRDefault="00FE3B43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(1)Institute of Respiratory Health, Frontiers Science Center for Disease-related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Molecular Network, West China Hospital, Sichuan University, Chengdu,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(2)West China School of Basic Medical Sciences &amp; Forensic Medicine, Sichuan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Chengdu, Sichuan,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(3)College of Life Sciences, Sichuan University, Chengdu, Sichuan,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(4)School of Clinical Medicine, North Sichuan Medical College, Nanchong,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Sichuan, 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(TB), caused by Mycobacterium tuberculosis (Mtb), remains a leading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global health threat, exacerbated by drug resistance and inadequate vaccine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efficacy. The PE/PPE protein family, unique to mycobacteria, constitutes ~10%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Mtb genome and plays critical roles in bacterial physiology, immune evasion,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host-pathogen interactions. This review synthesizes advances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understanding the evolutionary expansion, structural diversity, and functional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versatility of PE/PPE proteins, emphasizing their co-evolution with type VII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secretion systems (T7SS). We highlight their roles in nutrient acquisition,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immune modulation, and pathogenesis, alongside their potential as diagnostic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vaccine targets. Clinical progress in PE/PPE-based vaccines, such as M72/AS01E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ID93/GLA-SE, underscores their promise in combating TB, while challenges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epitope variability and functional redundancy demand innovative strategies. By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integrating evolutionary, structural, and immunological insights, this review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provides a roadmap for leveraging PE/PPE biology to develop next-generation TB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interventions.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Zhang, Dong, Li, Deng and Wang.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10.3389/fimmu.2025.1606311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PMC12209268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40599786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20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>. J Inflamm Res. 2025 Jun 27;18:8429-8445. doi: 10</w:t>
      </w:r>
      <w:r w:rsidR="00F46B33">
        <w:rPr>
          <w:rFonts w:ascii="宋体" w:eastAsia="宋体" w:hAnsi="宋体" w:cs="宋体"/>
          <w:b/>
          <w:color w:val="FF0000"/>
          <w:szCs w:val="21"/>
        </w:rPr>
        <w:t xml:space="preserve">.2147/JIR.S517034. eCollection 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>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Host Immune Response to Mycobacterium tuberculosis Infection: Implications for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Vaccine Development.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Liu Q(1)(2), Que S(1)(2), Qiu Y(1)(2), Tang M(1)(2), Liu S(1)(2), Yang G(1)(2),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Wang Y(1)(2), Deng A(1)(2), Hu X(3), Lian X(#)(4), Gao Q(#)(1)(2).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4325D2" w:rsidRPr="004325D2" w:rsidRDefault="004325D2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4325D2">
        <w:rPr>
          <w:rFonts w:ascii="宋体" w:eastAsia="宋体" w:hAnsi="宋体" w:cs="宋体"/>
          <w:b/>
          <w:color w:val="0070C0"/>
          <w:szCs w:val="21"/>
        </w:rPr>
        <w:t>Qianfei Liu, Songnian Que, Yixuan Qiu, Mingxing Tang, Shaohua Liu, Guanteng Yang, Yuxiang Wang, Ang Deng, Xiaojiang Hu, Xuehui Lian</w:t>
      </w:r>
      <w:r w:rsidRPr="004325D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325D2">
        <w:rPr>
          <w:rFonts w:ascii="宋体" w:eastAsia="宋体" w:hAnsi="宋体" w:cs="宋体"/>
          <w:b/>
          <w:color w:val="0070C0"/>
          <w:szCs w:val="21"/>
        </w:rPr>
        <w:t>, Qile Gao</w:t>
      </w:r>
      <w:r w:rsidRPr="004325D2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4325D2" w:rsidRPr="004325D2" w:rsidRDefault="004325D2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4325D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325D2">
        <w:rPr>
          <w:rFonts w:ascii="宋体" w:eastAsia="宋体" w:hAnsi="宋体" w:cs="宋体"/>
          <w:b/>
          <w:color w:val="0070C0"/>
          <w:szCs w:val="21"/>
        </w:rPr>
        <w:t>Correspondence: Qile Gao, Email gaoql@csu.edu.cn; Xuehui Lian, Email 2630909737@qq.com</w:t>
      </w:r>
    </w:p>
    <w:p w:rsidR="004325D2" w:rsidRDefault="004325D2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Spine Surgery and Orthopaedics, Xiangya Hospital, Central South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Changsha, Hunan,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(2)National Clinical Research Center for Geriatric Disorders, Xiangya Hospital,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Central South University, Changsha, Hunan,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Orthopedics, The Second Xiangya Hospital of Central South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Changsha, Hunan,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Spine Surgery, The First People's Hospital of Guiyang City,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Guiyang, Guizhou,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(TB) is an infectious disease caused by Mycobacterium tuberculosis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(Mtb) infection, including pulmonary tuberculosis and extrapulmonary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tuberculosis. About a quarter of the people in the world are infected with TB,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but only 5-10% of them will progress to active TB, posing a major challenge to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eradication of TB. The study of the host immune response to Mtb infection 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 key aspect of the development of effective vaccines and immunotherapies to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eradicate tuberculosis. In this review, we delve into the overview of animal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models of TB infection and the host's innate and adaptive immune responses to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Mtb infection. We discuss how Mtb is recognized and phagocytosed by macrophages,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how it evades immune responses, the recruitment and mobilization of neutrophils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monocytes, the role of natural killer cells during the infection process,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how dendritic cells initiate adaptive immunity, the important roles of CD4+ 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cells and their subtypes in TB infection, how CD8+ T cells exert cytotoxic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functions, and how B cells produce antibodies and exhibit memory characteristics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eliminate pathogens. Furthermore, we review the tuberculosis vaccines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currently entering clinical trials, emphasizing that studying the host's immune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responses following Mtb infection is crucial for the development of more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effective vaccines, providing a theoretical foundation and direction for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treatment of tuberculosis.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 Liu et al.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10.2147/JIR.S517034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PMC12212080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40599694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21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>. Nucleic Acids Res. 2025 Jun 20;53(12):gkaf622. doi: 10.1093/nar/gkaf622.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CARF-dependent preferential RNA cleavage by Csm6 increases drug susceptibility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of mycobacteria.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Wei W(1), Gao CH(2), Jiang X(3), Qiao J(3), Zhang L(3), Yan Y(1), Zhao G(1),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Yang K(1), Yan J(1), Yang M(1).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E9452C" w:rsidRPr="00776B0B" w:rsidRDefault="00E9452C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776B0B">
        <w:rPr>
          <w:rFonts w:ascii="宋体" w:eastAsia="宋体" w:hAnsi="宋体" w:cs="宋体"/>
          <w:b/>
          <w:color w:val="0070C0"/>
          <w:szCs w:val="21"/>
        </w:rPr>
        <w:t>Wenping Wei,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Chun-Hui Gao,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Xiaofang Jiang,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Junjie Qiao,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Li Zhang,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Yunjun Yan,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Guowei Zhao,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Kaixin Yang,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Jinyong Yan,</w:t>
      </w:r>
      <w:r w:rsidR="00776B0B" w:rsidRPr="00776B0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76B0B">
        <w:rPr>
          <w:rFonts w:ascii="宋体" w:eastAsia="宋体" w:hAnsi="宋体" w:cs="宋体"/>
          <w:b/>
          <w:color w:val="0070C0"/>
          <w:szCs w:val="21"/>
        </w:rPr>
        <w:t>Min Yang</w:t>
      </w:r>
      <w:r w:rsidR="00776B0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9452C" w:rsidRPr="00776B0B" w:rsidRDefault="00776B0B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776B0B">
        <w:rPr>
          <w:rFonts w:ascii="宋体" w:eastAsia="宋体" w:hAnsi="宋体" w:cs="宋体"/>
          <w:b/>
          <w:color w:val="0070C0"/>
          <w:szCs w:val="21"/>
        </w:rPr>
        <w:t>* To whom correspondence should be addressed. Email: ymyangmin@hust.edu.cn</w:t>
      </w:r>
    </w:p>
    <w:p w:rsidR="00E9452C" w:rsidRDefault="00E9452C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(1)Key Laboratory of Molecular Biophysics of the Ministry of Education, College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Life Science and Technology, Huazhong University of Science and Technology,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Wuhan 430074,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(2)National Key Laboratory of Agricultural Microbiology, College of Resources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and Environment, Huazhong Agricultural University, Wuhan 430070,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(3)National Key Laboratory of Agricultural Microbiology, College of Life Science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and Technology, Huazhong Agricultural University, Wuhan 430070,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CRISPR-Cas systems are prokaryotic adaptive immune systems that defend against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invading mobile genetic elements. The type III-A CRISPR-Cas system has been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studied in the evolutionary and epidemiological context of Mycobacterium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tuberculosis, the causative agent of tuberculosis. However, its biological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function remains poorly understood. Here, we demonstrate that heterologous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expression of csm6, a single-stranded RNA ribonuclease of the CRISPR-Cas system,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exhibits preferential RNA cleavage activity targeting host transcripts. This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activity significantly downregulates ribosomal and mycolic acid biosynthesis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pathway genes, leading to a global reduction in translation levels and an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increased drug susceptibility of Mycobacterium smegmatis. Furthermore,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mutagenesis analysis revealed that Csm6's biological function critically depends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on its CARF domain rather than its HEPN domain. In conclusion, our study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elucidates the biological role of the Csm6 protein in the CRISPR-Cas system,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both in vitro and in vivo, highlighting how preferential RNA cleavage impacts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multiple mycobacterial processes. These findings provide novel insights into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functional diversity of CRISPR-Cas systems in mycobacteria.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The Author(s) 2025. Published by Oxford University Press on behalf of Nucleic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Acids Research.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10.1093/nar/gkaf622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PMC12214007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</w:t>
      </w:r>
      <w:r w:rsidR="00F46B33">
        <w:rPr>
          <w:rFonts w:ascii="宋体" w:eastAsia="宋体" w:hAnsi="宋体" w:cs="宋体"/>
          <w:szCs w:val="21"/>
        </w:rPr>
        <w:t xml:space="preserve"> 40598890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22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 xml:space="preserve">. Infect Drug Resist. 2025 Jun 24;18:3087-3101. doi: 10.2147/IDR.S524300.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Epidemiology and Molecular Drug-Resistance Patterns of Tuberculosis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Non-Elderly Patients in Luoyang, China, 2019-2023.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Wang Z(#)(1)(2), Xu L(#)(2)(3), Guo T(1), Liu J(1), Jin J(1), Zhang Q(1), Jiang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T(1), Zhao Z(4), Xue Y(2).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C6406A" w:rsidRPr="00541F1E" w:rsidRDefault="00C6406A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541F1E">
        <w:rPr>
          <w:rFonts w:ascii="宋体" w:eastAsia="宋体" w:hAnsi="宋体" w:cs="宋体"/>
          <w:b/>
          <w:color w:val="0070C0"/>
          <w:szCs w:val="21"/>
        </w:rPr>
        <w:t>Zhenzhen Wang, Liyang Xu, Tengfei Guo, Jinwei Liu, Junrong Jin, Qing Zhang, Tao Jiang, Zhanqin Zhao, Yun Xue</w:t>
      </w:r>
      <w:r w:rsidR="00541F1E" w:rsidRPr="00541F1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C6406A" w:rsidRPr="00541F1E" w:rsidRDefault="00541F1E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541F1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41F1E">
        <w:rPr>
          <w:rFonts w:ascii="宋体" w:eastAsia="宋体" w:hAnsi="宋体" w:cs="宋体"/>
          <w:b/>
          <w:color w:val="0070C0"/>
          <w:szCs w:val="21"/>
        </w:rPr>
        <w:t>Correspondence: Yun Xue, Email xueyun6688@163.com</w:t>
      </w:r>
    </w:p>
    <w:p w:rsidR="00C6406A" w:rsidRDefault="00C6406A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(1)The First Affiliated Hospital, and College of Clinical Medicine of Henan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University of Science and Technology, Luoyang, Henan, People's Republic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(2)School of Medical Technology and Engineering, Henan University of Science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Technology, Luoyang, Henan,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(3)Luoyang Center for Disease Control and Prevention, Luoyang, Henan, People's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(4)Animal Science and Technology, Henan University of Science and Technology,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Luoyang, Henan, People's Republic of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PURPOSE: </w:t>
      </w:r>
      <w:r w:rsidRPr="002E3956">
        <w:rPr>
          <w:rFonts w:ascii="宋体" w:eastAsia="宋体" w:hAnsi="宋体" w:cs="宋体"/>
          <w:szCs w:val="21"/>
        </w:rPr>
        <w:t xml:space="preserve">Existing data offer limited guidance on TB control strategies for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non-elderly population, hampering effective epidemic management. This study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aimed to analyze TB transmission and molecular resistance profiles among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non-elderly patients (&lt;60 years) in Luoyang City.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PATIENTS AND METHODS:</w:t>
      </w:r>
      <w:r w:rsidRPr="002E3956">
        <w:rPr>
          <w:rFonts w:ascii="宋体" w:eastAsia="宋体" w:hAnsi="宋体" w:cs="宋体"/>
          <w:szCs w:val="21"/>
        </w:rPr>
        <w:t xml:space="preserve"> From 2019-2023, 24,706 non-duplicate sputum samples from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10 TB-designated hospitals were tested for Mycobacterium tuberculosis complex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(MTBC) via IS6110-targeted real-time PCR. MTBC-positive specimens underwent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multicolor melting curve analysis (MMCA) to assess resistance to isoniazid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(INH), rifampin (RFP), streptomycin (SM), and ethambutol (EMB). Age-stratified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analyses were performed to compare drug-resistant TB (DR-TB) prevalence between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elderly and non-elderly groups, with multivariate regression identifying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resistance risk factors in non-elderly patients.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Non-elderly individuals exhibited significantly higher TB (17.54% vs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15.26%) and DR-TB (26.82% vs 21.62%) rates than the elderly (all, P &lt; 0.001).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Among non-elderly patients, males, retreatment cases, main urban residents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smear-positive groups had significantly elevated MTBC detection rates.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predominant resistance patterns of multidrug-resistant tuberculosis (MDR-TB)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poly-resistant tuberculosis (PDR-TB) were MDR4 (INH + RFP + EMB + SM) and PDR2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(INH + SM), with detection rates of 5.52% (142) and 2.33% (60), respectively.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MTBC positive rate peaked at 30-34 years (23.10%), while the resistance rate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peaked at 35-39 years. After adjusting for the effects of smear results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diagnosis year, the multivariate regression analysis model indicated that male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sex, retreatment, and the main urban area were high-risk factors for TB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resistance in non-elderly cases.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The non-elderly population demonstrates a significantly higher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burden of both TB detection and resistance, particularly among males,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retreatment cases, and main urban patients. The emergence of complex drug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resistance patterns, combined with a distinct trend of younger age at infection,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highlights the critical need for targeted interventions tailored to specific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epidemiological and resistance profiles of MTBC-infected populations.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 Wang et al.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10.2147/IDR.S524300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PMC12206893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40590043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23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 xml:space="preserve">. Front Immunol. 2025 Jun 16;16:1607770. doi: 10.3389/fimmu.2025.1607770.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lastRenderedPageBreak/>
        <w:t>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Transcriptomic and proteomic signatures of host NK cells delineate distinct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immune states across tuberculosis infection statuses.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Zhang H(#)(1), Liu L(#)(1), Hu J(1), Wu X(1), Zheng J(1), Xin H(1), Du J(1),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Yang J(1), Lv Z(2), Wu Z(2), Gao L(1), Liu R(2), Sun H(3), Zhang X(1), Jin Q(1).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A32AE9" w:rsidRPr="00A32AE9" w:rsidRDefault="00A32AE9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A32AE9">
        <w:rPr>
          <w:rFonts w:ascii="宋体" w:eastAsia="宋体" w:hAnsi="宋体" w:cs="宋体"/>
          <w:b/>
          <w:color w:val="0070C0"/>
          <w:szCs w:val="21"/>
        </w:rPr>
        <w:t>Han Zhang, Liguo Liu, Jie Hu, Xiaolin Wu, Jianhua Zheng, Henan Xin, Jiang Du, Jiarong Yang, Zizheng Lv, Zhuoran Wu, Lei Gao, Rongmei Liu, Haidan Sun, Xiaobing Zhang, Qi Jin</w:t>
      </w:r>
    </w:p>
    <w:p w:rsidR="00A32AE9" w:rsidRPr="00A32AE9" w:rsidRDefault="00A32AE9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A32AE9">
        <w:rPr>
          <w:rFonts w:ascii="宋体" w:eastAsia="宋体" w:hAnsi="宋体" w:cs="宋体"/>
          <w:b/>
          <w:color w:val="0070C0"/>
          <w:szCs w:val="21"/>
        </w:rPr>
        <w:t>*CORRESPONDENCE Rongmei Liu</w:t>
      </w:r>
      <w:r w:rsidRPr="00A32AE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32AE9">
        <w:rPr>
          <w:rFonts w:ascii="宋体" w:eastAsia="宋体" w:hAnsi="宋体" w:cs="宋体"/>
          <w:b/>
          <w:color w:val="0070C0"/>
          <w:szCs w:val="21"/>
        </w:rPr>
        <w:t xml:space="preserve">lrongmei@163.com </w:t>
      </w:r>
      <w:r w:rsidRPr="00A32AE9">
        <w:rPr>
          <w:rFonts w:ascii="宋体" w:eastAsia="宋体" w:hAnsi="宋体" w:cs="宋体" w:hint="eastAsia"/>
          <w:b/>
          <w:color w:val="0070C0"/>
          <w:szCs w:val="21"/>
        </w:rPr>
        <w:t xml:space="preserve">； </w:t>
      </w:r>
      <w:r w:rsidRPr="00A32AE9">
        <w:rPr>
          <w:rFonts w:ascii="宋体" w:eastAsia="宋体" w:hAnsi="宋体" w:cs="宋体"/>
          <w:b/>
          <w:color w:val="0070C0"/>
          <w:szCs w:val="21"/>
        </w:rPr>
        <w:t>Haidan Sun</w:t>
      </w:r>
      <w:r w:rsidRPr="00A32AE9">
        <w:rPr>
          <w:rFonts w:ascii="宋体" w:eastAsia="宋体" w:hAnsi="宋体" w:cs="宋体" w:hint="eastAsia"/>
          <w:b/>
          <w:color w:val="0070C0"/>
          <w:szCs w:val="21"/>
        </w:rPr>
        <w:t>，</w:t>
      </w:r>
      <w:hyperlink r:id="rId8" w:history="1">
        <w:r w:rsidRPr="00A32AE9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sunhd15@163.com</w:t>
        </w:r>
      </w:hyperlink>
      <w:r w:rsidRPr="00A32AE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32AE9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A32AE9">
        <w:rPr>
          <w:rFonts w:ascii="宋体" w:eastAsia="宋体" w:hAnsi="宋体" w:cs="宋体"/>
          <w:b/>
          <w:color w:val="0070C0"/>
          <w:szCs w:val="21"/>
        </w:rPr>
        <w:t>Xiaobing Zhang</w:t>
      </w:r>
      <w:r w:rsidRPr="00A32AE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32AE9">
        <w:rPr>
          <w:rFonts w:ascii="宋体" w:eastAsia="宋体" w:hAnsi="宋体" w:cs="宋体"/>
          <w:b/>
          <w:color w:val="0070C0"/>
          <w:szCs w:val="21"/>
        </w:rPr>
        <w:t xml:space="preserve">zhang_xb@ipbcams.ac.cn </w:t>
      </w:r>
      <w:r w:rsidRPr="00A32AE9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A32AE9">
        <w:rPr>
          <w:rFonts w:ascii="宋体" w:eastAsia="宋体" w:hAnsi="宋体" w:cs="宋体"/>
          <w:b/>
          <w:color w:val="0070C0"/>
          <w:szCs w:val="21"/>
        </w:rPr>
        <w:t>Qi Jin</w:t>
      </w:r>
      <w:r w:rsidRPr="00A32AE9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A32AE9">
        <w:rPr>
          <w:rFonts w:ascii="宋体" w:eastAsia="宋体" w:hAnsi="宋体" w:cs="宋体"/>
          <w:b/>
          <w:color w:val="0070C0"/>
          <w:szCs w:val="21"/>
        </w:rPr>
        <w:t>zdsys@vip.sina.com</w:t>
      </w:r>
    </w:p>
    <w:p w:rsidR="00A32AE9" w:rsidRDefault="00A32AE9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(1)National Health Commission (NHC) Key Laboratory of Systems Biology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Pathogens, State Key Laboratory of Respiratory Health and Multimorbidity,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National Institute of Pathogen Biology, and Center for Tuberculosis Research,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Chinese Academy of Medical Sciences and Peking Union Medical College, Beijing,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Research Ward, Beijing Chest Hospital, Capital 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University/Beijing Tuberculosis and Thoracic Tumor Research Institute, Beijing,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(3)Institute of Basic Medical Sciences Chinese Academy of Medical Sciences,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School of Basic Medicine Peking Union Medical College, Beijing,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INTRODUCTION: </w:t>
      </w:r>
      <w:r w:rsidRPr="002E3956">
        <w:rPr>
          <w:rFonts w:ascii="宋体" w:eastAsia="宋体" w:hAnsi="宋体" w:cs="宋体"/>
          <w:szCs w:val="21"/>
        </w:rPr>
        <w:t xml:space="preserve">Although natural killer (NK) cells play crucial roles in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immune response to Mycobacterium tuberculosis (M.tb) infection, systematic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investigations delineating the immune characteristics of NK cells across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tuberculosis (TB) disease spectrum are scarce.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This multiomics study employed transcriptomic, proteomic, and RT-qPCR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analyses to characterize and validate CD56+ NK cells from 165 participants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stratified by TB infection status (active TB (ATB), latent TB infection (LTBI),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healthy control (HC)). Peripheral blood samples from an independent cohort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of 85 participants were subjected to flow cytometry analysis and validation.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RESULTS AND DISCUSSION:</w:t>
      </w:r>
      <w:r w:rsidRPr="002E3956">
        <w:rPr>
          <w:rFonts w:ascii="宋体" w:eastAsia="宋体" w:hAnsi="宋体" w:cs="宋体"/>
          <w:szCs w:val="21"/>
        </w:rPr>
        <w:t xml:space="preserve"> Enrichment analyses of transcriptomic and proteomic data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revealed that the NK cell-mediated cytotoxicity and apoptosis pathways were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enriched in LTBI and ATB groups, whereas chemotaxis-related pathway enrichment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was specific to ATB. Further analysis revealed that the expression of genes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mediating the NK cell-mediated cytotoxicity signaling pathway through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perforin-granzyme was upregulated in the LTBI state, whereas that of those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associated with death receptors was elevated in ATB, potentially indicating a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transformation of NK cell function in different TB infection states. Moreover,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analysis of ATB-specific chemotaxis genes suggested that the migration of NK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cells was likely to occur in the ATB state. Flow cytometry revealed an increased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frequency of CD56dim NK cells and a decreased frequency of CD56bright NK cells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 individuals with LTBI versus that in HCs in an independent cohort.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addition, RT-qPCR validation identified a four-biomarker combination (SLC7A5,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PDE4D, CXCR4, and SOCS3) distinguishing ATB from HCs, a three-biomarker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combination (SLC7A5, PER1, and PDE4D) differentiating LTBI from HC, and a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three-biomarker combination (SOCS3, GZMK, and HIST1H3B) differentiating ATB from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LTBI. These findings elucidate the immune clearance mechanism of NK cells in TB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provide clinically actionable biomarkers for infection staging, advancing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our understanding of TB immunopathogenesis.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Copyright © 2025 Zhang, Liu, Hu, Wu, Zheng, Xin, Du, Yang, Lv, Wu, Gao, Liu,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Sun, Zhang and Jin.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10.3389/fimmu.2025.1607770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PMC12206628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40589756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24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 xml:space="preserve">. Medicine (Baltimore). 2025 Jun 27;104(26):e43089. doi: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10.1097/MD.0000000000043089.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Exploring the influencing factors of cavities persist in rifampicin-sensitive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pulmonary tuberculosis patients who have completed outpatient treatment based 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logistic regression forest plot.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Li S(1), Luo SR, Feng YP, Xu BQ.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B15761" w:rsidRPr="00180FD6" w:rsidRDefault="00B15761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180FD6">
        <w:rPr>
          <w:rFonts w:ascii="宋体" w:eastAsia="宋体" w:hAnsi="宋体" w:cs="宋体"/>
          <w:b/>
          <w:color w:val="0070C0"/>
          <w:szCs w:val="21"/>
        </w:rPr>
        <w:t>Shan Li,</w:t>
      </w:r>
      <w:r w:rsidR="00180FD6" w:rsidRPr="00180FD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0FD6">
        <w:rPr>
          <w:rFonts w:ascii="宋体" w:eastAsia="宋体" w:hAnsi="宋体" w:cs="宋体"/>
          <w:b/>
          <w:color w:val="0070C0"/>
          <w:szCs w:val="21"/>
        </w:rPr>
        <w:t>Shui-Rong Luo,</w:t>
      </w:r>
      <w:r w:rsidR="00180FD6" w:rsidRPr="00180FD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0FD6">
        <w:rPr>
          <w:rFonts w:ascii="宋体" w:eastAsia="宋体" w:hAnsi="宋体" w:cs="宋体"/>
          <w:b/>
          <w:color w:val="0070C0"/>
          <w:szCs w:val="21"/>
        </w:rPr>
        <w:t>Yin-Ping Feng,</w:t>
      </w:r>
      <w:r w:rsidR="00180FD6" w:rsidRPr="00180FD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0FD6">
        <w:rPr>
          <w:rFonts w:ascii="宋体" w:eastAsia="宋体" w:hAnsi="宋体" w:cs="宋体"/>
          <w:b/>
          <w:color w:val="0070C0"/>
          <w:szCs w:val="21"/>
        </w:rPr>
        <w:t>Bi-Qing Xu</w:t>
      </w:r>
      <w:r w:rsidR="00180FD6" w:rsidRPr="00180FD6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B15761" w:rsidRPr="00180FD6" w:rsidRDefault="00180FD6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180FD6">
        <w:rPr>
          <w:rFonts w:ascii="宋体" w:eastAsia="宋体" w:hAnsi="宋体" w:cs="宋体"/>
          <w:b/>
          <w:color w:val="0070C0"/>
          <w:szCs w:val="21"/>
        </w:rPr>
        <w:t>* Correspondence: Bi-Qing Xu, (e-mail: xubiqing123@126.com).</w:t>
      </w:r>
    </w:p>
    <w:p w:rsidR="00B15761" w:rsidRPr="002E3956" w:rsidRDefault="00B15761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Tuberculosis, Lishui Hospital of Traditional Chinese Medicine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Affiliated to Zhejiang University of Traditional Chinese Medicine, Lishui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Tuberculosis Clinical Medical Research Center, Lishui, Zhejiang,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This study explores the factors influencing the persistence of cavities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with rifampicin-sensitive pulmonary tuberculosis who have completed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outpatient follow-up treatment based on multiple regression analysis. A total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218 rifampicin-sensitive pulmonary tuberculosis patients with pulmonary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cavities, who were followed up at our hospital from January 2022 to October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2023, were selected as the study subjects. General patient data were collected,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including gender, age, residence, smoking status, hemoptysis symptoms, presence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diabetes, initial treatment/retreatment, number of outpatient visits,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duration of intensive treatment, presence of extrapulmonary tuberculosis,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presence of chronic aspergillosis. Based on a reexamination of chest CT scans to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evaluate lung cavity absorption after completion of treatment, patients were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categorized into the cavity closure group or cavity persistence group.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Multivariate logistic regression analysis was conducted to identify factors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influencing cavity persistence, and a forest plot was generated. Among the 218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rifampicin-sensitive pulmonary tuberculosis patients, 55 (25.23%) had persistent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pulmonary cavities. Multivariate logistic regression analysis revealed that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smoking (OR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2.209, 95% CI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1.029-4.739, 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.042), diabetes (OR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3.423, 95%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CI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1.602-7.315, 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.001), retreatment (OR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5.286, 95% CI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1.983-14.087,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.001), and chronic pulmonary aspergillosis (OR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5.684, 95%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CI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2.459-13.138, 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.001) were significant factors influencing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persistence of cavities (P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.05). Smoking, diabetes, retreatment of pulmonary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tuberculosis, and chronic pulmonary aspergillosis are all factors that influence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persistence of cavities in patients with rifampicin-sensitive pulmonary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who have completed treatment in outpatient clinics. Early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intervention should be implemented in these cases.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the Author(s). Published by Wolters Kluwer Health, Inc.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10.1097/MD.0000000000043089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PMC12212854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40587703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503BEE" w:rsidP="001A62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25</w:t>
      </w:r>
      <w:r w:rsidR="001A6248" w:rsidRPr="00F46B33">
        <w:rPr>
          <w:rFonts w:ascii="宋体" w:eastAsia="宋体" w:hAnsi="宋体" w:cs="宋体"/>
          <w:b/>
          <w:color w:val="FF0000"/>
          <w:szCs w:val="21"/>
        </w:rPr>
        <w:t xml:space="preserve">. Medicine (Baltimore). 2025 Jun 27;104(26):e42779. doi: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10.1097/MD.0000000000042779.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Effect of combined clinical pathway and scenario simulation teaching 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psychological stress and anxiety among tuberculosis interns: A retrospective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cohort study.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Chen Z(1), Guo D(1), Shi Q(1), Zeng Z(2).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355AE9" w:rsidRPr="00355AE9" w:rsidRDefault="00355AE9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355AE9">
        <w:rPr>
          <w:rFonts w:ascii="宋体" w:eastAsia="宋体" w:hAnsi="宋体" w:cs="宋体"/>
          <w:b/>
          <w:color w:val="0070C0"/>
          <w:szCs w:val="21"/>
        </w:rPr>
        <w:t>Zhi Chen, Donglin Guo, Qian Shi, Zhong Zeng</w:t>
      </w:r>
      <w:r w:rsidRPr="00355AE9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55AE9" w:rsidRPr="00355AE9" w:rsidRDefault="00355AE9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355AE9">
        <w:rPr>
          <w:rFonts w:ascii="宋体" w:eastAsia="宋体" w:hAnsi="宋体" w:cs="宋体"/>
          <w:b/>
          <w:color w:val="0070C0"/>
          <w:szCs w:val="21"/>
        </w:rPr>
        <w:t>* Correspondence: Zhong Zeng, (e-mail: zengzhong309@126.com).</w:t>
      </w:r>
    </w:p>
    <w:p w:rsidR="00355AE9" w:rsidRPr="00355AE9" w:rsidRDefault="00355AE9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Tuberculosis, Tuberculosis Medical Center, The Eighth 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Center of PLA General Hospital, Beijing,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(2)Department of Tuberculosis, Ganzhou No. 5 People's Hospital, Jiangxi,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 the realm of medical education, clinical internship represents a pivotal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phase where theoretical knowledge must be practically applied amidst real-world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 care, often leading to heightened stress and anxiety among interns. This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transitional challenge is particularly acute for tuberculosis (TB) clinical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interns, requiring innovative teaching methodologies. Therefore, we aim to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evaluate the efficacy of integrating clinical pathway instruction with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scenario-based simulation teaching in alleviating psychological stress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anxiety among TB clinical trainees. Data extraction from electronic health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educational evaluation records spanned September 2020 to September 2022,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focusing on TB clinical interns. The investigation centered on 2 principal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teaching methodologies used during training: the combination of clinical pathway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scenario simulation approaches. Standardized instruments quantified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psychological stress and anxiety at 3 intervals - pre-teaching, post-teaching,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a 6-month follow-up. The study encompassed 70 TB clinical interns,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allocating 34 to a combined teaching approach integrating clinical pathways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scenario simulations, while 36 underwent conventional teaching methodologies.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Post-intervention assessments revealed significant reduction in psychological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stress levels among those subjected to the combined methods (t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2.522,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.014). This difference was further magnified at the 6-month follow-up, with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combined teaching method group demonstrating markedly lower psychological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stress levels (t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3.54, 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.001). Also, immediately following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intervention, the combined method group experienced significantly lesser anxiety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(t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2.278, 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.026), and the beneficial effect endured through the 6-month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mark (t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2.41, P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MS Gothic" w:eastAsia="MS Gothic" w:hAnsi="MS Gothic" w:cs="MS Gothic" w:hint="eastAsia"/>
          <w:szCs w:val="21"/>
        </w:rPr>
        <w:t> </w:t>
      </w:r>
      <w:r w:rsidRPr="002E3956">
        <w:rPr>
          <w:rFonts w:ascii="宋体" w:eastAsia="宋体" w:hAnsi="宋体" w:cs="宋体"/>
          <w:szCs w:val="21"/>
        </w:rPr>
        <w:t xml:space="preserve">.019). Combining clinical pathway teaching method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scenario simulation teaching method are associated with reduced psychological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stress and anxiety levels among TB clinical interns.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the Author(s). Published by Wolters Kluwer Health, Inc.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10.1097/MD.0000000000042779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PMC12212833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40587701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2</w:t>
      </w:r>
      <w:r w:rsidR="00503BEE">
        <w:rPr>
          <w:rFonts w:ascii="宋体" w:eastAsia="宋体" w:hAnsi="宋体" w:cs="宋体"/>
          <w:b/>
          <w:color w:val="FF0000"/>
          <w:szCs w:val="21"/>
        </w:rPr>
        <w:t>6</w:t>
      </w:r>
      <w:r w:rsidRPr="00F46B33">
        <w:rPr>
          <w:rFonts w:ascii="宋体" w:eastAsia="宋体" w:hAnsi="宋体" w:cs="宋体"/>
          <w:b/>
          <w:color w:val="FF0000"/>
          <w:szCs w:val="21"/>
        </w:rPr>
        <w:t xml:space="preserve">. J Clin Tuberc Other Mycobact Dis. 2025 May 20;40:100535. doi: </w:t>
      </w:r>
    </w:p>
    <w:p w:rsidR="001A6248" w:rsidRPr="00F46B33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10.1016/j.jctube.2025.100535. eCollection 2025 Aug.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Characteristics of subclinical pulmonary tuberculosis compared to active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pulmonary tuberculosis: A retrospective cohort study.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Zhang A(1), Wang W(1), Wang Z(1), Sheng H(1), Yang J(1).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355AE9" w:rsidRPr="00355AE9" w:rsidRDefault="00355AE9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355AE9">
        <w:rPr>
          <w:rFonts w:ascii="宋体" w:eastAsia="宋体" w:hAnsi="宋体" w:cs="宋体"/>
          <w:b/>
          <w:color w:val="0070C0"/>
          <w:szCs w:val="21"/>
        </w:rPr>
        <w:t>Aiping Zhang, Wenjie Wang, Zijian Wang, Haoyu Sheng, Jianghua Yang</w:t>
      </w:r>
      <w:r w:rsidRPr="00355AE9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55AE9" w:rsidRPr="00355AE9" w:rsidRDefault="00355AE9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355AE9">
        <w:rPr>
          <w:rFonts w:ascii="宋体" w:eastAsia="宋体" w:hAnsi="宋体" w:cs="宋体"/>
          <w:b/>
          <w:color w:val="0070C0"/>
          <w:szCs w:val="21"/>
        </w:rPr>
        <w:t>* Corresponding author. E-mail address: yjhpath@163.com (J. Yang).</w:t>
      </w:r>
    </w:p>
    <w:p w:rsidR="00355AE9" w:rsidRDefault="00355AE9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Infectious Diseases, Yijishan Hospital of Wannan 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College, Wuhu 241001 Anhui, PR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BACKGROUND:</w:t>
      </w:r>
      <w:r w:rsidRPr="002E3956">
        <w:rPr>
          <w:rFonts w:ascii="宋体" w:eastAsia="宋体" w:hAnsi="宋体" w:cs="宋体"/>
          <w:szCs w:val="21"/>
        </w:rPr>
        <w:t xml:space="preserve"> Little is known about subclinical pulmonary tuberculosis (SPTB),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its diagnosis remains challenging. The aim is to analyze the results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laboratory of SPTB and improve clinical understanding and help early diagnosis.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METHOD:</w:t>
      </w:r>
      <w:r w:rsidRPr="002E3956">
        <w:rPr>
          <w:rFonts w:ascii="宋体" w:eastAsia="宋体" w:hAnsi="宋体" w:cs="宋体"/>
          <w:szCs w:val="21"/>
        </w:rPr>
        <w:t xml:space="preserve"> This retrospective cohort study was conducted in patients with pulmonary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(TB) at a university hospital in China. 138 cases of SPTB were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compared with active pulmonary tuberculosis (APTB) (140 cases) and healthy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person (HC) (136 cases).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RESULT: </w:t>
      </w:r>
      <w:r w:rsidRPr="002E3956">
        <w:rPr>
          <w:rFonts w:ascii="宋体" w:eastAsia="宋体" w:hAnsi="宋体" w:cs="宋体"/>
          <w:szCs w:val="21"/>
        </w:rPr>
        <w:t>The average age of the SPTB group (40.43 ± 19.85 years) was younger th</w:t>
      </w:r>
      <w:r w:rsidR="00F46B33">
        <w:rPr>
          <w:rFonts w:ascii="宋体" w:eastAsia="宋体" w:hAnsi="宋体" w:cs="宋体"/>
          <w:szCs w:val="21"/>
        </w:rPr>
        <w:t xml:space="preserve">an </w:t>
      </w:r>
      <w:r w:rsidRPr="002E3956">
        <w:rPr>
          <w:rFonts w:ascii="宋体" w:eastAsia="宋体" w:hAnsi="宋体" w:cs="宋体"/>
          <w:szCs w:val="21"/>
        </w:rPr>
        <w:t>that of the APTB group (50.01 ± 21.49 years)</w:t>
      </w:r>
      <w:r w:rsidR="00F46B33">
        <w:rPr>
          <w:rFonts w:ascii="宋体" w:eastAsia="宋体" w:hAnsi="宋体" w:cs="宋体"/>
          <w:szCs w:val="21"/>
        </w:rPr>
        <w:t xml:space="preserve"> (p &lt; 0.05). The WBC count was </w:t>
      </w:r>
      <w:r w:rsidRPr="002E3956">
        <w:rPr>
          <w:rFonts w:ascii="宋体" w:eastAsia="宋体" w:hAnsi="宋体" w:cs="宋体"/>
          <w:szCs w:val="21"/>
        </w:rPr>
        <w:t>elevated in both pulmonary TB groups compared to t</w:t>
      </w:r>
      <w:r w:rsidR="00F46B33">
        <w:rPr>
          <w:rFonts w:ascii="宋体" w:eastAsia="宋体" w:hAnsi="宋体" w:cs="宋体"/>
          <w:szCs w:val="21"/>
        </w:rPr>
        <w:t xml:space="preserve">he HC group(p &lt; 0.05). CRP and </w:t>
      </w:r>
      <w:r w:rsidRPr="002E3956">
        <w:rPr>
          <w:rFonts w:ascii="宋体" w:eastAsia="宋体" w:hAnsi="宋体" w:cs="宋体"/>
          <w:szCs w:val="21"/>
        </w:rPr>
        <w:t>CA-125 were higher in the APTB group than in SPT</w:t>
      </w:r>
      <w:r w:rsidR="00F46B33">
        <w:rPr>
          <w:rFonts w:ascii="宋体" w:eastAsia="宋体" w:hAnsi="宋体" w:cs="宋体"/>
          <w:szCs w:val="21"/>
        </w:rPr>
        <w:t xml:space="preserve">B and HC group (p &lt; 0.05). The </w:t>
      </w:r>
      <w:r w:rsidRPr="002E3956">
        <w:rPr>
          <w:rFonts w:ascii="宋体" w:eastAsia="宋体" w:hAnsi="宋体" w:cs="宋体"/>
          <w:szCs w:val="21"/>
        </w:rPr>
        <w:t xml:space="preserve">CD4+ T cells counts in SPTB group was lower than that in HC group (p &lt; 0.05);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although the CD4+ T cells counts in SPTB group was lower than that in APTB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group, the difference was not statistically significant (p &gt; 0.05). There were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statistically significant differences in CD8 + T cells counts between the three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groups (p &lt; 0.05), and the CD8 + T cells counts </w:t>
      </w:r>
      <w:r w:rsidR="00F46B33">
        <w:rPr>
          <w:rFonts w:ascii="宋体" w:eastAsia="宋体" w:hAnsi="宋体" w:cs="宋体"/>
          <w:szCs w:val="21"/>
        </w:rPr>
        <w:t xml:space="preserve">in two pulmonary TB groups was </w:t>
      </w:r>
      <w:r w:rsidRPr="002E3956">
        <w:rPr>
          <w:rFonts w:ascii="宋体" w:eastAsia="宋体" w:hAnsi="宋体" w:cs="宋体"/>
          <w:szCs w:val="21"/>
        </w:rPr>
        <w:t xml:space="preserve">lower than that in the HC group (p &lt; 0.05), and there was no statistically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significant difference between SPTB and APTB group (p &gt; 0.05). The T-SPOT.TB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value in SPTB were lower than those in the APTB group (p &lt; 0.05).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CONCLUSION:</w:t>
      </w:r>
      <w:r w:rsidRPr="002E3956">
        <w:rPr>
          <w:rFonts w:ascii="宋体" w:eastAsia="宋体" w:hAnsi="宋体" w:cs="宋体"/>
          <w:szCs w:val="21"/>
        </w:rPr>
        <w:t xml:space="preserve"> Patients with SPTB tend to develop the condition at a younger age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are predominantly male. Clinically, we can judge whether SPTB will develop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into APTB by monitoring WBC count, CA-125, CRP, T lymphocyte count and T-SPOT.TB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value level, in order to achieve the purpose of early diagnosis and treatment.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 The Authors.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10.1016/j.jctube.2025.100535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PMC12206056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40585524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162239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162239">
        <w:rPr>
          <w:rFonts w:ascii="宋体" w:eastAsia="宋体" w:hAnsi="宋体" w:cs="宋体"/>
          <w:b/>
          <w:color w:val="FF0000"/>
          <w:szCs w:val="21"/>
        </w:rPr>
        <w:t>2</w:t>
      </w:r>
      <w:r w:rsidR="00503BEE">
        <w:rPr>
          <w:rFonts w:ascii="宋体" w:eastAsia="宋体" w:hAnsi="宋体" w:cs="宋体"/>
          <w:b/>
          <w:color w:val="FF0000"/>
          <w:szCs w:val="21"/>
        </w:rPr>
        <w:t>7</w:t>
      </w:r>
      <w:r w:rsidRPr="00162239">
        <w:rPr>
          <w:rFonts w:ascii="宋体" w:eastAsia="宋体" w:hAnsi="宋体" w:cs="宋体"/>
          <w:b/>
          <w:color w:val="FF0000"/>
          <w:szCs w:val="21"/>
        </w:rPr>
        <w:t xml:space="preserve">. Front Microbiol. 2025 Jun 13;16:1591792. doi: 10.3389/fmicb.2025.1591792. </w:t>
      </w:r>
    </w:p>
    <w:p w:rsidR="001A6248" w:rsidRPr="00162239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162239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Clinical Mycobacterium tuberculosis isolates exhibit a molecular clock rate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below 1 SNP per genome per year.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Wang JL(1)(2)(3), Chen YL(4), Guan CP(4), Yu K(5)(6)(7), Wang MS(4).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7F594B" w:rsidRPr="00C172CB" w:rsidRDefault="007F594B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C172CB">
        <w:rPr>
          <w:rFonts w:ascii="宋体" w:eastAsia="宋体" w:hAnsi="宋体" w:cs="宋体"/>
          <w:b/>
          <w:color w:val="0070C0"/>
          <w:szCs w:val="21"/>
        </w:rPr>
        <w:t>Jun-Li Wang,</w:t>
      </w:r>
      <w:r w:rsidR="00C172C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172CB">
        <w:rPr>
          <w:rFonts w:ascii="宋体" w:eastAsia="宋体" w:hAnsi="宋体" w:cs="宋体"/>
          <w:b/>
          <w:color w:val="0070C0"/>
          <w:szCs w:val="21"/>
        </w:rPr>
        <w:t>Ya-Li Chen,</w:t>
      </w:r>
      <w:r w:rsidR="00C172C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172CB">
        <w:rPr>
          <w:rFonts w:ascii="宋体" w:eastAsia="宋体" w:hAnsi="宋体" w:cs="宋体"/>
          <w:b/>
          <w:color w:val="0070C0"/>
          <w:szCs w:val="21"/>
        </w:rPr>
        <w:t>Cui-Ping Guan,</w:t>
      </w:r>
      <w:r w:rsidR="00C172C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172CB">
        <w:rPr>
          <w:rFonts w:ascii="宋体" w:eastAsia="宋体" w:hAnsi="宋体" w:cs="宋体"/>
          <w:b/>
          <w:color w:val="0070C0"/>
          <w:szCs w:val="21"/>
        </w:rPr>
        <w:t>Kan Yu,</w:t>
      </w:r>
      <w:r w:rsidR="00C172CB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C172CB">
        <w:rPr>
          <w:rFonts w:ascii="宋体" w:eastAsia="宋体" w:hAnsi="宋体" w:cs="宋体"/>
          <w:b/>
          <w:color w:val="0070C0"/>
          <w:szCs w:val="21"/>
        </w:rPr>
        <w:t>Mao-Shui Wang</w:t>
      </w:r>
      <w:r w:rsidR="00C172C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7F594B" w:rsidRPr="00C172CB" w:rsidRDefault="00C172CB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C172CB">
        <w:rPr>
          <w:rFonts w:ascii="宋体" w:eastAsia="宋体" w:hAnsi="宋体" w:cs="宋体"/>
          <w:b/>
          <w:color w:val="0070C0"/>
          <w:szCs w:val="21"/>
        </w:rPr>
        <w:t>*CORRESPONDENCE Mao-Shui Wang</w:t>
      </w:r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172CB">
        <w:rPr>
          <w:rFonts w:ascii="宋体" w:eastAsia="宋体" w:hAnsi="宋体" w:cs="宋体"/>
          <w:b/>
          <w:color w:val="0070C0"/>
          <w:szCs w:val="21"/>
        </w:rPr>
        <w:t xml:space="preserve"> wangmaoshui@gmail.com</w:t>
      </w:r>
    </w:p>
    <w:p w:rsidR="007F594B" w:rsidRDefault="007F594B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Lab Medicine, The Affiliated Hospital of Youjiang 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University for Nationalities, Baise,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(2)Guangxi Engineering Research Center for Precise Genetic Testing of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Long-Dwelling Nationalities, Guangxi,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(3)Engineering Research Center of Guangxi Higher Education Institutions for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Precise Genetic Testing of Long-Dwelling Nationalities, Guangxi,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Lab Medicine, Shandong Public Health Clinical Center, Shandong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Jinan,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(5)Marshall Centre, Division of Infection and Immunity, School of Biomedical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Sciences, University of Western Australia, Perth, WA, Australia.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(6)The Marshall Centre for Infectious Diseases, Research and Training,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 of Western Australia, Perth, WA, Australia.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(7)School of Biomedical Sciences, The University Western Australia, Perth, WA,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Australia.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PURPOSE: </w:t>
      </w:r>
      <w:r w:rsidRPr="002E3956">
        <w:rPr>
          <w:rFonts w:ascii="宋体" w:eastAsia="宋体" w:hAnsi="宋体" w:cs="宋体"/>
          <w:szCs w:val="21"/>
        </w:rPr>
        <w:t xml:space="preserve">Tuberculosis (TB) remains a significant global health concern,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necessitating effective measures to control the epidemic. Understanding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evolution of Mycobacterium tuberculosis (M. tb) through molecular clock analysis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is crucial for tracing outbreaks, managing transmission, and ultimately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improving TB management in practice.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>RESULTS:</w:t>
      </w:r>
      <w:r w:rsidRPr="002E3956">
        <w:rPr>
          <w:rFonts w:ascii="宋体" w:eastAsia="宋体" w:hAnsi="宋体" w:cs="宋体"/>
          <w:szCs w:val="21"/>
        </w:rPr>
        <w:t xml:space="preserve"> A total of 27 studies were included for analysis. The pooled mutation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rate was estimated at 0.63 single nucleotide polymorphisms (SNPs) per genome per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year [95% confidence interval (CI): 0.51-0.75; 95% predictive interval (PI):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0.04-1.22], significant heterogeneity (I2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92.7%, p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&lt;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 xml:space="preserve">0.001) was observed.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Clinical strains had a mutation rate of 0.55 SNPs per year (95% CI: 0.45-0.65;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95% PI: 0.12-0.98), while model strains showed a higher rate of 1.14 SNPs per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year (95% CI: 0.68-1.60; 95% PI: -0.22-2.50; Meta-regression analysis,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 xml:space="preserve">0.006). Mutation rates did not significantly differ between transmission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events and reactivation or single episodes (p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=</w:t>
      </w:r>
      <w:r w:rsidRPr="002E3956">
        <w:rPr>
          <w:rFonts w:ascii="Times New Roman" w:eastAsia="宋体" w:hAnsi="Times New Roman" w:cs="Times New Roman"/>
          <w:szCs w:val="21"/>
        </w:rPr>
        <w:t> </w:t>
      </w:r>
      <w:r w:rsidRPr="002E3956">
        <w:rPr>
          <w:rFonts w:ascii="宋体" w:eastAsia="宋体" w:hAnsi="宋体" w:cs="宋体"/>
          <w:szCs w:val="21"/>
        </w:rPr>
        <w:t>0.497).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The mutation rate of clinical M. tb strains is below 1 SNP per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genome per year, indicating evolutionary stability in clinical settings. This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finding is important for TB outbreak reconstructions and public health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strategies. Future research should refine subgroup analyses based on infection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characteristics for more precise molecular clock estimates.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SYSTEMATIC REVIEW REGISTRATION: PROSPERO, identifier CRD42024595161.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Wang, Chen, Guan, Yu and Wang.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10.3389/fmicb.2025.1591792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PMC12202658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40584032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162239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162239">
        <w:rPr>
          <w:rFonts w:ascii="宋体" w:eastAsia="宋体" w:hAnsi="宋体" w:cs="宋体"/>
          <w:b/>
          <w:color w:val="FF0000"/>
          <w:szCs w:val="21"/>
        </w:rPr>
        <w:t>2</w:t>
      </w:r>
      <w:r w:rsidR="00503BEE">
        <w:rPr>
          <w:rFonts w:ascii="宋体" w:eastAsia="宋体" w:hAnsi="宋体" w:cs="宋体"/>
          <w:b/>
          <w:color w:val="FF0000"/>
          <w:szCs w:val="21"/>
        </w:rPr>
        <w:t>8</w:t>
      </w:r>
      <w:r w:rsidRPr="00162239">
        <w:rPr>
          <w:rFonts w:ascii="宋体" w:eastAsia="宋体" w:hAnsi="宋体" w:cs="宋体"/>
          <w:b/>
          <w:color w:val="FF0000"/>
          <w:szCs w:val="21"/>
        </w:rPr>
        <w:t xml:space="preserve">. Int J Infect Dis. 2025 Jun 26:107966. doi: 10.1016/j.ijid.2025.107966. Online </w:t>
      </w:r>
    </w:p>
    <w:p w:rsidR="001A6248" w:rsidRPr="00162239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162239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Global burden of tuberculosis among adults aged 60 years and older,1990-2021: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findings from the global burden of disease study 2021.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Liu J(1), Zhou Y(1), Guan J(1), Liu Y(1), Song W(1), Liu W(1), Yin X(1), Liu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Y(2), Li T(2), Jin L(2), Zhang L(1), Li Y(1), Wu L(1), Wang N(1), Liu Z(1), Liu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X(1), Wang Y(3), Wu Q(1), Liang L(4).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652FEA" w:rsidRPr="00735FF3" w:rsidRDefault="00652FEA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735FF3">
        <w:rPr>
          <w:rFonts w:ascii="宋体" w:eastAsia="宋体" w:hAnsi="宋体" w:cs="宋体"/>
          <w:b/>
          <w:color w:val="0070C0"/>
          <w:szCs w:val="21"/>
        </w:rPr>
        <w:t>Junping Liu,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Yue Zhou,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Juan Guan,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Yaping Liu,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Weijian Song,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Wei Liu,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Xinle Yin,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Yuqin Liu,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Ting Li,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Long Jin,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Lihan Zhang,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Yunkai Li,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Lin Wu,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Nan Wang,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Zhaoyue Liu,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Xinru Liu,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Yanfu Wang,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Qunhong Wu,</w:t>
      </w:r>
      <w:r w:rsidR="00735FF3" w:rsidRPr="00735FF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35FF3">
        <w:rPr>
          <w:rFonts w:ascii="宋体" w:eastAsia="宋体" w:hAnsi="宋体" w:cs="宋体"/>
          <w:b/>
          <w:color w:val="0070C0"/>
          <w:szCs w:val="21"/>
        </w:rPr>
        <w:t>Libo Liang</w:t>
      </w:r>
      <w:r w:rsidR="00735FF3" w:rsidRPr="00735FF3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52FEA" w:rsidRPr="00735FF3" w:rsidRDefault="00652FEA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735FF3">
        <w:rPr>
          <w:rFonts w:ascii="宋体" w:eastAsia="宋体" w:hAnsi="宋体" w:cs="宋体"/>
          <w:b/>
          <w:color w:val="0070C0"/>
          <w:szCs w:val="21"/>
        </w:rPr>
        <w:t>#Corresponding author: E-mail: llbhit@163.com. Tel: 18646015061.</w:t>
      </w:r>
    </w:p>
    <w:p w:rsidR="00652FEA" w:rsidRDefault="00652FEA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Social Medicine, School of Health Management, Harbin 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Harbin, 150081,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(2)Infectious Disease Hospital of Heilongjiang Province, Harbin, 150500,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(3)Heilongjiang Provincial Center for Disease Control and Prevention, Harbin,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150030,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Social Medicine, School of Health Management, Harbin Medical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Harbin, 150081, China.. Electronic address: llbhit@163.com.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>OBJECTIVES:</w:t>
      </w:r>
      <w:r w:rsidRPr="002E3956">
        <w:rPr>
          <w:rFonts w:ascii="宋体" w:eastAsia="宋体" w:hAnsi="宋体" w:cs="宋体"/>
          <w:szCs w:val="21"/>
        </w:rPr>
        <w:t xml:space="preserve"> Tuberculosis (TB) poses a significant threat to global public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health, particularly among the elderly. This study aim to provide a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comprehensive analysis of the pattern and temporal trends of the global disease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burden associated with HIV-negative TB in adults aged 60 years and older from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1990 to 2021.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METHODS: </w:t>
      </w:r>
      <w:r w:rsidRPr="002E3956">
        <w:rPr>
          <w:rFonts w:ascii="宋体" w:eastAsia="宋体" w:hAnsi="宋体" w:cs="宋体"/>
          <w:szCs w:val="21"/>
        </w:rPr>
        <w:t xml:space="preserve">Data on incidence, deaths, and disability-adjusted-life-years (DALYs)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TB, drug-susceptible tuberculosis (DS-TB), multidrug-resistant tuberculosis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(MDR-TB), and extensively drug-resistant tuberculosis (XDR-TB) were obtained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from the Global Burden of Disease (GBD) 2021. Frontier analysis was carried out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pinpoint areas for enhancement and disparities among nations stratified by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development level. Bayesian age-period-cohort model (BAPC) was utilized to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forecast disease burden trends through 2035.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A decline trend in age-standardized incidence rate (ASIR),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age-standardized mortality rate (ASMR), and DALY rates for TB and DS-TB was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observed among the elderly population globally, whereas an upward trend was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noted of MDR-TB and XDR-TB. Frontier analyses revealed a potential for burden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alleviation among diverse nations and regions, with high SDI nations like the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Republic of Korea showing higher disease burden than expected for their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sociodemographic development. BAPC model revealed that by 2035, the MDR-TB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XDR-TB burden will continue escalating in the elderly.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CONCLUSIONS: </w:t>
      </w:r>
      <w:r w:rsidRPr="002E3956">
        <w:rPr>
          <w:rFonts w:ascii="宋体" w:eastAsia="宋体" w:hAnsi="宋体" w:cs="宋体"/>
          <w:szCs w:val="21"/>
        </w:rPr>
        <w:t xml:space="preserve">The increasing MDR-TB and XDR-TB burden in older individuals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underscores the need for tailored interventions to combat TB burden, such as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implementing active case finding (ACF) among adults aged 60 years and older.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2025. Published by Elsevier Ltd.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10.1016/j.ijid.2025.107966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40581250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162239" w:rsidRDefault="001A6248" w:rsidP="001A6248">
      <w:pPr>
        <w:rPr>
          <w:rFonts w:ascii="宋体" w:eastAsia="宋体" w:hAnsi="宋体" w:cs="宋体"/>
          <w:b/>
          <w:color w:val="FF0000"/>
          <w:szCs w:val="21"/>
        </w:rPr>
      </w:pPr>
      <w:r w:rsidRPr="00162239">
        <w:rPr>
          <w:rFonts w:ascii="宋体" w:eastAsia="宋体" w:hAnsi="宋体" w:cs="宋体"/>
          <w:b/>
          <w:color w:val="FF0000"/>
          <w:szCs w:val="21"/>
        </w:rPr>
        <w:t>2</w:t>
      </w:r>
      <w:r w:rsidR="00503BEE">
        <w:rPr>
          <w:rFonts w:ascii="宋体" w:eastAsia="宋体" w:hAnsi="宋体" w:cs="宋体"/>
          <w:b/>
          <w:color w:val="FF0000"/>
          <w:szCs w:val="21"/>
        </w:rPr>
        <w:t>9</w:t>
      </w:r>
      <w:r w:rsidRPr="00162239">
        <w:rPr>
          <w:rFonts w:ascii="宋体" w:eastAsia="宋体" w:hAnsi="宋体" w:cs="宋体"/>
          <w:b/>
          <w:color w:val="FF0000"/>
          <w:szCs w:val="21"/>
        </w:rPr>
        <w:t>. Ann Med. 2025 Dec;57(1):2523557. doi: 10.1080/07</w:t>
      </w:r>
      <w:r w:rsidR="00162239" w:rsidRPr="00162239">
        <w:rPr>
          <w:rFonts w:ascii="宋体" w:eastAsia="宋体" w:hAnsi="宋体" w:cs="宋体"/>
          <w:b/>
          <w:color w:val="FF0000"/>
          <w:szCs w:val="21"/>
        </w:rPr>
        <w:t xml:space="preserve">853890.2025.2523557. Epub 2025 </w:t>
      </w:r>
      <w:r w:rsidRPr="00162239">
        <w:rPr>
          <w:rFonts w:ascii="宋体" w:eastAsia="宋体" w:hAnsi="宋体" w:cs="宋体"/>
          <w:b/>
          <w:color w:val="FF0000"/>
          <w:szCs w:val="21"/>
        </w:rPr>
        <w:t>Jun 28.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LncRNA C5orf64 polymorphisms (rs12518552 and rs2950218) decreases pulmonary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tuberculosis susceptibility.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Xu S(1), Hu B(2), Zhang D(3), Wang J(3), He X(3), He Y(3), Wang Y(1).</w:t>
      </w:r>
    </w:p>
    <w:p w:rsidR="001A6248" w:rsidRDefault="001A6248" w:rsidP="001A6248">
      <w:pPr>
        <w:rPr>
          <w:rFonts w:ascii="宋体" w:eastAsia="宋体" w:hAnsi="宋体" w:cs="宋体"/>
          <w:szCs w:val="21"/>
        </w:rPr>
      </w:pPr>
    </w:p>
    <w:p w:rsidR="006F34B5" w:rsidRPr="006F34B5" w:rsidRDefault="006F34B5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6F34B5">
        <w:rPr>
          <w:rFonts w:ascii="宋体" w:eastAsia="宋体" w:hAnsi="宋体" w:cs="宋体"/>
          <w:b/>
          <w:color w:val="0070C0"/>
          <w:szCs w:val="21"/>
        </w:rPr>
        <w:t>Shilin Xu, Baoping Hu, Dongfeng Zhang, Jing Wang, Xue He, Yongjun He, Yuhe Wang</w:t>
      </w:r>
      <w:r w:rsidRPr="006F34B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F34B5" w:rsidRPr="006F34B5" w:rsidRDefault="006F34B5" w:rsidP="001A6248">
      <w:pPr>
        <w:rPr>
          <w:rFonts w:ascii="宋体" w:eastAsia="宋体" w:hAnsi="宋体" w:cs="宋体"/>
          <w:b/>
          <w:color w:val="0070C0"/>
          <w:szCs w:val="21"/>
        </w:rPr>
      </w:pPr>
      <w:r w:rsidRPr="006F34B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F34B5">
        <w:rPr>
          <w:rFonts w:ascii="宋体" w:eastAsia="宋体" w:hAnsi="宋体" w:cs="宋体"/>
          <w:b/>
          <w:color w:val="0070C0"/>
          <w:szCs w:val="21"/>
        </w:rPr>
        <w:t>CONTACT Yuhe Wang</w:t>
      </w:r>
      <w:r w:rsidRPr="006F34B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6F34B5">
        <w:rPr>
          <w:rFonts w:ascii="宋体" w:eastAsia="宋体" w:hAnsi="宋体" w:cs="宋体"/>
          <w:b/>
          <w:color w:val="0070C0"/>
          <w:szCs w:val="21"/>
        </w:rPr>
        <w:t xml:space="preserve">107046676@qq.com </w:t>
      </w:r>
    </w:p>
    <w:p w:rsidR="006F34B5" w:rsidRPr="002E3956" w:rsidRDefault="006F34B5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Clinical Laboratory, The Affiliated Hospital of Xizang Minzu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Xianyang,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Anesthesia, The Affiliated Hospital of Xizang Minzu University,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Xianyang,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(3)Key Laboratory of Molecular Mechanism and Intervention Research for Plateau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Diseases of Tibet Autonomous Region, School of Medicine, Xizang Minzu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Xianyang, China.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>BACKGROUND:</w:t>
      </w:r>
      <w:r w:rsidRPr="002E3956">
        <w:rPr>
          <w:rFonts w:ascii="宋体" w:eastAsia="宋体" w:hAnsi="宋体" w:cs="宋体"/>
          <w:szCs w:val="21"/>
        </w:rPr>
        <w:t xml:space="preserve"> Pulmonary tuberculosis (PTB) remains a significant global health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issue, with genetic factors playing a crucial role in susceptibility. Long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noncoding RNA (lncRNA) C5orf64 has been implicated in immune responses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cancer, but its association with PTB risk has not been fully explored.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Genomic DNA was extracted from peripheral blood samples of 955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participants (474 PTB cases and 481 controls). Rs12518552 and rs2950218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C5orf64 were genotyped using the Agena MassARRAY system. Logistic regression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analysis was performed to assess the association between these polymorphisms and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PTB risk. Stratified analysis was conducted to evaluate the influence of age,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gender, and smoking status.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Rs12518552-G (OR = 0.82, p = 0.034) and rs2950218-T (OR = 0.77, p =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0.012) were associated with a reduced PTB risk. Stratified analysis revealed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that rs12518552 was associated with a protective effect against PTB in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individuals over 40 years old (OR = 0.73, p = 0.024), females (OR = 0.77, p =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0.034), and non-smokers (OR = 0.78, p = 0.040), and rs2950218 was also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associated with a reduced PTB risk in individuals over 40 years old (OR = 0.73,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 = 0.040), females (OR = 0.72, p = 0.046), and non-smokers (OR = 0.72, p =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0.011).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162239">
        <w:rPr>
          <w:rFonts w:ascii="宋体" w:eastAsia="宋体" w:hAnsi="宋体" w:cs="宋体"/>
          <w:b/>
          <w:szCs w:val="21"/>
        </w:rPr>
        <w:lastRenderedPageBreak/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C5orf64 polymorphisms, particularly rs12518552 and rs2950218, are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associated with a reduced risk of PTB. These findings suggest that C5orf64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polymorphisms contribute to genetic susceptibility to PTB, with implications for 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PTB targeted screening and personalized therapeutic strategies.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10.1080/07853890.2025.2523557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PMC12207763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40580075 [Indexed for MEDLINE]</w:t>
      </w: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p w:rsidR="001A6248" w:rsidRPr="002E3956" w:rsidRDefault="001A6248" w:rsidP="001A6248">
      <w:pPr>
        <w:rPr>
          <w:rFonts w:ascii="宋体" w:eastAsia="宋体" w:hAnsi="宋体" w:cs="宋体"/>
          <w:szCs w:val="21"/>
        </w:rPr>
      </w:pPr>
    </w:p>
    <w:sectPr w:rsidR="001A6248" w:rsidRPr="002E3956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48" w:rsidRDefault="00CD6348" w:rsidP="004C39AF">
      <w:r>
        <w:separator/>
      </w:r>
    </w:p>
  </w:endnote>
  <w:endnote w:type="continuationSeparator" w:id="0">
    <w:p w:rsidR="00CD6348" w:rsidRDefault="00CD6348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48" w:rsidRDefault="00CD6348" w:rsidP="004C39AF">
      <w:r>
        <w:separator/>
      </w:r>
    </w:p>
  </w:footnote>
  <w:footnote w:type="continuationSeparator" w:id="0">
    <w:p w:rsidR="00CD6348" w:rsidRDefault="00CD6348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DB4ED4"/>
    <w:multiLevelType w:val="multilevel"/>
    <w:tmpl w:val="C09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1218C"/>
    <w:multiLevelType w:val="multilevel"/>
    <w:tmpl w:val="45FE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2158"/>
    <w:rsid w:val="0000344F"/>
    <w:rsid w:val="000053D4"/>
    <w:rsid w:val="00005C57"/>
    <w:rsid w:val="00005DF6"/>
    <w:rsid w:val="00007617"/>
    <w:rsid w:val="00007812"/>
    <w:rsid w:val="00007A28"/>
    <w:rsid w:val="00011C35"/>
    <w:rsid w:val="00012109"/>
    <w:rsid w:val="00013138"/>
    <w:rsid w:val="0001360E"/>
    <w:rsid w:val="0001363A"/>
    <w:rsid w:val="00013BEE"/>
    <w:rsid w:val="00014403"/>
    <w:rsid w:val="00015A87"/>
    <w:rsid w:val="00016B5F"/>
    <w:rsid w:val="00016C79"/>
    <w:rsid w:val="0001736B"/>
    <w:rsid w:val="0001780F"/>
    <w:rsid w:val="00017F5F"/>
    <w:rsid w:val="000212B5"/>
    <w:rsid w:val="00021B2B"/>
    <w:rsid w:val="00022C1A"/>
    <w:rsid w:val="00024C92"/>
    <w:rsid w:val="00024CF8"/>
    <w:rsid w:val="0002556C"/>
    <w:rsid w:val="00025645"/>
    <w:rsid w:val="00026721"/>
    <w:rsid w:val="00026903"/>
    <w:rsid w:val="00026B44"/>
    <w:rsid w:val="00031017"/>
    <w:rsid w:val="00032443"/>
    <w:rsid w:val="0003251D"/>
    <w:rsid w:val="000336F2"/>
    <w:rsid w:val="00034C47"/>
    <w:rsid w:val="000369F1"/>
    <w:rsid w:val="000377E0"/>
    <w:rsid w:val="00040D2C"/>
    <w:rsid w:val="000411E9"/>
    <w:rsid w:val="00041F05"/>
    <w:rsid w:val="000425F8"/>
    <w:rsid w:val="00042646"/>
    <w:rsid w:val="000426FD"/>
    <w:rsid w:val="00042BCC"/>
    <w:rsid w:val="000430FF"/>
    <w:rsid w:val="000439C5"/>
    <w:rsid w:val="00043EC1"/>
    <w:rsid w:val="000440F8"/>
    <w:rsid w:val="0004433C"/>
    <w:rsid w:val="0004482E"/>
    <w:rsid w:val="00044BF9"/>
    <w:rsid w:val="00044C1D"/>
    <w:rsid w:val="000467F6"/>
    <w:rsid w:val="00046A7D"/>
    <w:rsid w:val="0004738B"/>
    <w:rsid w:val="0004796A"/>
    <w:rsid w:val="00047D8A"/>
    <w:rsid w:val="00050F4A"/>
    <w:rsid w:val="000512A8"/>
    <w:rsid w:val="000518ED"/>
    <w:rsid w:val="00051E3D"/>
    <w:rsid w:val="00052F5C"/>
    <w:rsid w:val="00053092"/>
    <w:rsid w:val="000540E9"/>
    <w:rsid w:val="00054174"/>
    <w:rsid w:val="000542D4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1893"/>
    <w:rsid w:val="00062457"/>
    <w:rsid w:val="00062761"/>
    <w:rsid w:val="0006337A"/>
    <w:rsid w:val="000637F3"/>
    <w:rsid w:val="00063E49"/>
    <w:rsid w:val="00063E76"/>
    <w:rsid w:val="000650D3"/>
    <w:rsid w:val="000652AC"/>
    <w:rsid w:val="000660CB"/>
    <w:rsid w:val="0007069D"/>
    <w:rsid w:val="00070FE6"/>
    <w:rsid w:val="00071D85"/>
    <w:rsid w:val="00072E27"/>
    <w:rsid w:val="00073164"/>
    <w:rsid w:val="000745CB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8093D"/>
    <w:rsid w:val="00080EB3"/>
    <w:rsid w:val="00081087"/>
    <w:rsid w:val="000811D4"/>
    <w:rsid w:val="000815C7"/>
    <w:rsid w:val="00081F9F"/>
    <w:rsid w:val="00082408"/>
    <w:rsid w:val="00082B2E"/>
    <w:rsid w:val="00082B6A"/>
    <w:rsid w:val="00082EB9"/>
    <w:rsid w:val="00083B28"/>
    <w:rsid w:val="00083C1E"/>
    <w:rsid w:val="00083CDE"/>
    <w:rsid w:val="00083F4F"/>
    <w:rsid w:val="00084611"/>
    <w:rsid w:val="00085CBB"/>
    <w:rsid w:val="000860B7"/>
    <w:rsid w:val="00086220"/>
    <w:rsid w:val="000878F0"/>
    <w:rsid w:val="000879A2"/>
    <w:rsid w:val="000900A1"/>
    <w:rsid w:val="00092419"/>
    <w:rsid w:val="00092C39"/>
    <w:rsid w:val="00092C59"/>
    <w:rsid w:val="00092F3A"/>
    <w:rsid w:val="00093655"/>
    <w:rsid w:val="00093A63"/>
    <w:rsid w:val="00096770"/>
    <w:rsid w:val="00097075"/>
    <w:rsid w:val="000979C8"/>
    <w:rsid w:val="00097C56"/>
    <w:rsid w:val="000A0C4E"/>
    <w:rsid w:val="000A12C3"/>
    <w:rsid w:val="000A37B4"/>
    <w:rsid w:val="000A3C36"/>
    <w:rsid w:val="000A4B87"/>
    <w:rsid w:val="000A4CEA"/>
    <w:rsid w:val="000A5E88"/>
    <w:rsid w:val="000A6D28"/>
    <w:rsid w:val="000A73A3"/>
    <w:rsid w:val="000B15A4"/>
    <w:rsid w:val="000B1B8A"/>
    <w:rsid w:val="000B2066"/>
    <w:rsid w:val="000B207D"/>
    <w:rsid w:val="000B2A58"/>
    <w:rsid w:val="000B37C0"/>
    <w:rsid w:val="000B4814"/>
    <w:rsid w:val="000B53D7"/>
    <w:rsid w:val="000B644B"/>
    <w:rsid w:val="000B64CA"/>
    <w:rsid w:val="000B7415"/>
    <w:rsid w:val="000B7C3B"/>
    <w:rsid w:val="000C07C5"/>
    <w:rsid w:val="000C09F8"/>
    <w:rsid w:val="000C0A24"/>
    <w:rsid w:val="000C0F9A"/>
    <w:rsid w:val="000C1141"/>
    <w:rsid w:val="000C2025"/>
    <w:rsid w:val="000C31CF"/>
    <w:rsid w:val="000C3599"/>
    <w:rsid w:val="000C4172"/>
    <w:rsid w:val="000C4425"/>
    <w:rsid w:val="000C48BE"/>
    <w:rsid w:val="000C54B5"/>
    <w:rsid w:val="000C5BD0"/>
    <w:rsid w:val="000C5D65"/>
    <w:rsid w:val="000C6757"/>
    <w:rsid w:val="000C6BE6"/>
    <w:rsid w:val="000D04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3106"/>
    <w:rsid w:val="000D4DA6"/>
    <w:rsid w:val="000D6767"/>
    <w:rsid w:val="000D6B28"/>
    <w:rsid w:val="000D7225"/>
    <w:rsid w:val="000E0FAD"/>
    <w:rsid w:val="000E160C"/>
    <w:rsid w:val="000E1ED0"/>
    <w:rsid w:val="000E30ED"/>
    <w:rsid w:val="000E321F"/>
    <w:rsid w:val="000E350F"/>
    <w:rsid w:val="000E3922"/>
    <w:rsid w:val="000E3E6F"/>
    <w:rsid w:val="000E515E"/>
    <w:rsid w:val="000E5936"/>
    <w:rsid w:val="000E6910"/>
    <w:rsid w:val="000E7095"/>
    <w:rsid w:val="000E782C"/>
    <w:rsid w:val="000F1799"/>
    <w:rsid w:val="000F1C71"/>
    <w:rsid w:val="000F2CAB"/>
    <w:rsid w:val="000F31C8"/>
    <w:rsid w:val="000F4278"/>
    <w:rsid w:val="000F5325"/>
    <w:rsid w:val="000F64D5"/>
    <w:rsid w:val="000F69E7"/>
    <w:rsid w:val="000F69F4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3E11"/>
    <w:rsid w:val="00104454"/>
    <w:rsid w:val="00105CE6"/>
    <w:rsid w:val="0010615D"/>
    <w:rsid w:val="0010782E"/>
    <w:rsid w:val="0011166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773"/>
    <w:rsid w:val="00117E84"/>
    <w:rsid w:val="00120949"/>
    <w:rsid w:val="001209C1"/>
    <w:rsid w:val="00122327"/>
    <w:rsid w:val="00123068"/>
    <w:rsid w:val="0012347D"/>
    <w:rsid w:val="0012481A"/>
    <w:rsid w:val="0012536D"/>
    <w:rsid w:val="00125C53"/>
    <w:rsid w:val="001266D9"/>
    <w:rsid w:val="0012692E"/>
    <w:rsid w:val="0012702F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A12"/>
    <w:rsid w:val="00135067"/>
    <w:rsid w:val="0013594B"/>
    <w:rsid w:val="00136B8B"/>
    <w:rsid w:val="00136FAC"/>
    <w:rsid w:val="00137054"/>
    <w:rsid w:val="001370CD"/>
    <w:rsid w:val="001405D6"/>
    <w:rsid w:val="00140A42"/>
    <w:rsid w:val="00140E35"/>
    <w:rsid w:val="001412B3"/>
    <w:rsid w:val="00141CE3"/>
    <w:rsid w:val="0014494D"/>
    <w:rsid w:val="00145B48"/>
    <w:rsid w:val="00150583"/>
    <w:rsid w:val="00150794"/>
    <w:rsid w:val="0015126B"/>
    <w:rsid w:val="00151E7D"/>
    <w:rsid w:val="00152B66"/>
    <w:rsid w:val="00152C96"/>
    <w:rsid w:val="0015367E"/>
    <w:rsid w:val="001559A6"/>
    <w:rsid w:val="00156286"/>
    <w:rsid w:val="001565EA"/>
    <w:rsid w:val="00156C7B"/>
    <w:rsid w:val="00157628"/>
    <w:rsid w:val="0015788B"/>
    <w:rsid w:val="001609A6"/>
    <w:rsid w:val="00161378"/>
    <w:rsid w:val="001615D7"/>
    <w:rsid w:val="00161F92"/>
    <w:rsid w:val="00162239"/>
    <w:rsid w:val="00162EF3"/>
    <w:rsid w:val="00163152"/>
    <w:rsid w:val="00165A37"/>
    <w:rsid w:val="00166250"/>
    <w:rsid w:val="00166477"/>
    <w:rsid w:val="001670B3"/>
    <w:rsid w:val="0016753E"/>
    <w:rsid w:val="0016764C"/>
    <w:rsid w:val="00167748"/>
    <w:rsid w:val="00170319"/>
    <w:rsid w:val="0017116D"/>
    <w:rsid w:val="00171541"/>
    <w:rsid w:val="00171609"/>
    <w:rsid w:val="00172F22"/>
    <w:rsid w:val="00173B35"/>
    <w:rsid w:val="00174065"/>
    <w:rsid w:val="001743F5"/>
    <w:rsid w:val="00175ACE"/>
    <w:rsid w:val="00175B5A"/>
    <w:rsid w:val="00175D6E"/>
    <w:rsid w:val="0017715C"/>
    <w:rsid w:val="00177548"/>
    <w:rsid w:val="0018099B"/>
    <w:rsid w:val="00180FD6"/>
    <w:rsid w:val="0018108C"/>
    <w:rsid w:val="001812F4"/>
    <w:rsid w:val="0018181D"/>
    <w:rsid w:val="001830BE"/>
    <w:rsid w:val="001837F3"/>
    <w:rsid w:val="0018449D"/>
    <w:rsid w:val="0018564F"/>
    <w:rsid w:val="0018682D"/>
    <w:rsid w:val="00186BCA"/>
    <w:rsid w:val="00187878"/>
    <w:rsid w:val="00187A92"/>
    <w:rsid w:val="00187DA7"/>
    <w:rsid w:val="00190484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579"/>
    <w:rsid w:val="001A06AF"/>
    <w:rsid w:val="001A127F"/>
    <w:rsid w:val="001A1F66"/>
    <w:rsid w:val="001A220A"/>
    <w:rsid w:val="001A3082"/>
    <w:rsid w:val="001A30F9"/>
    <w:rsid w:val="001A3C89"/>
    <w:rsid w:val="001A4B38"/>
    <w:rsid w:val="001A6248"/>
    <w:rsid w:val="001A7525"/>
    <w:rsid w:val="001A75BC"/>
    <w:rsid w:val="001A77F9"/>
    <w:rsid w:val="001A7832"/>
    <w:rsid w:val="001A79CD"/>
    <w:rsid w:val="001B13A5"/>
    <w:rsid w:val="001B14E7"/>
    <w:rsid w:val="001B1623"/>
    <w:rsid w:val="001B172B"/>
    <w:rsid w:val="001B183C"/>
    <w:rsid w:val="001B1D7B"/>
    <w:rsid w:val="001B26E2"/>
    <w:rsid w:val="001B2961"/>
    <w:rsid w:val="001B2EE4"/>
    <w:rsid w:val="001B382E"/>
    <w:rsid w:val="001B468D"/>
    <w:rsid w:val="001B4DC6"/>
    <w:rsid w:val="001B578C"/>
    <w:rsid w:val="001B59BF"/>
    <w:rsid w:val="001B5DFD"/>
    <w:rsid w:val="001B6637"/>
    <w:rsid w:val="001B6AA0"/>
    <w:rsid w:val="001B6B80"/>
    <w:rsid w:val="001B7854"/>
    <w:rsid w:val="001C0858"/>
    <w:rsid w:val="001C0BA3"/>
    <w:rsid w:val="001C0DC6"/>
    <w:rsid w:val="001C1546"/>
    <w:rsid w:val="001C27D7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6262"/>
    <w:rsid w:val="001D6263"/>
    <w:rsid w:val="001D74AD"/>
    <w:rsid w:val="001D76AC"/>
    <w:rsid w:val="001D7F12"/>
    <w:rsid w:val="001E02EA"/>
    <w:rsid w:val="001E14F6"/>
    <w:rsid w:val="001E16A8"/>
    <w:rsid w:val="001E2637"/>
    <w:rsid w:val="001E2B6C"/>
    <w:rsid w:val="001E3059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E8E"/>
    <w:rsid w:val="001F3DB3"/>
    <w:rsid w:val="001F4101"/>
    <w:rsid w:val="001F45DE"/>
    <w:rsid w:val="001F55C0"/>
    <w:rsid w:val="001F5BE0"/>
    <w:rsid w:val="001F6243"/>
    <w:rsid w:val="001F6401"/>
    <w:rsid w:val="001F6444"/>
    <w:rsid w:val="001F6920"/>
    <w:rsid w:val="001F7747"/>
    <w:rsid w:val="00200BFB"/>
    <w:rsid w:val="00202162"/>
    <w:rsid w:val="0020283E"/>
    <w:rsid w:val="00203136"/>
    <w:rsid w:val="00203B67"/>
    <w:rsid w:val="00203FDE"/>
    <w:rsid w:val="00204F38"/>
    <w:rsid w:val="0020515F"/>
    <w:rsid w:val="0020559A"/>
    <w:rsid w:val="00206265"/>
    <w:rsid w:val="00207513"/>
    <w:rsid w:val="0021256D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2112B"/>
    <w:rsid w:val="0022177F"/>
    <w:rsid w:val="00222BF8"/>
    <w:rsid w:val="00222C1F"/>
    <w:rsid w:val="002237B6"/>
    <w:rsid w:val="00223EC7"/>
    <w:rsid w:val="00223F13"/>
    <w:rsid w:val="002246F4"/>
    <w:rsid w:val="002250FB"/>
    <w:rsid w:val="0022537C"/>
    <w:rsid w:val="0022635E"/>
    <w:rsid w:val="00226417"/>
    <w:rsid w:val="002269CE"/>
    <w:rsid w:val="00226A07"/>
    <w:rsid w:val="0023030B"/>
    <w:rsid w:val="0023054B"/>
    <w:rsid w:val="00232D98"/>
    <w:rsid w:val="00233B2D"/>
    <w:rsid w:val="00234A90"/>
    <w:rsid w:val="00234AC9"/>
    <w:rsid w:val="00235153"/>
    <w:rsid w:val="00235199"/>
    <w:rsid w:val="00236497"/>
    <w:rsid w:val="002366B9"/>
    <w:rsid w:val="002368A3"/>
    <w:rsid w:val="0023793E"/>
    <w:rsid w:val="0024004F"/>
    <w:rsid w:val="0024111C"/>
    <w:rsid w:val="0024123B"/>
    <w:rsid w:val="002414C7"/>
    <w:rsid w:val="002426DE"/>
    <w:rsid w:val="002434F4"/>
    <w:rsid w:val="00244832"/>
    <w:rsid w:val="002449AD"/>
    <w:rsid w:val="00246901"/>
    <w:rsid w:val="0024704A"/>
    <w:rsid w:val="00247D63"/>
    <w:rsid w:val="00247E12"/>
    <w:rsid w:val="0025031B"/>
    <w:rsid w:val="00250A8B"/>
    <w:rsid w:val="00251271"/>
    <w:rsid w:val="00251922"/>
    <w:rsid w:val="00252068"/>
    <w:rsid w:val="00252307"/>
    <w:rsid w:val="002547C7"/>
    <w:rsid w:val="00254919"/>
    <w:rsid w:val="00254E56"/>
    <w:rsid w:val="00254F1F"/>
    <w:rsid w:val="00255583"/>
    <w:rsid w:val="002557EB"/>
    <w:rsid w:val="00255FF4"/>
    <w:rsid w:val="0025671A"/>
    <w:rsid w:val="00256A02"/>
    <w:rsid w:val="00256D18"/>
    <w:rsid w:val="0025701C"/>
    <w:rsid w:val="002573CF"/>
    <w:rsid w:val="00257A79"/>
    <w:rsid w:val="0026071D"/>
    <w:rsid w:val="00260828"/>
    <w:rsid w:val="002609CD"/>
    <w:rsid w:val="0026216B"/>
    <w:rsid w:val="002622F1"/>
    <w:rsid w:val="002629E1"/>
    <w:rsid w:val="00262EA3"/>
    <w:rsid w:val="002640D3"/>
    <w:rsid w:val="00264730"/>
    <w:rsid w:val="00264E66"/>
    <w:rsid w:val="00265E5B"/>
    <w:rsid w:val="0026605C"/>
    <w:rsid w:val="00266D93"/>
    <w:rsid w:val="00267890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90166"/>
    <w:rsid w:val="00291877"/>
    <w:rsid w:val="00291F64"/>
    <w:rsid w:val="00292D3A"/>
    <w:rsid w:val="00294399"/>
    <w:rsid w:val="00294A7A"/>
    <w:rsid w:val="00294FFF"/>
    <w:rsid w:val="0029557A"/>
    <w:rsid w:val="002968AF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65C4"/>
    <w:rsid w:val="002A68EB"/>
    <w:rsid w:val="002A6BE3"/>
    <w:rsid w:val="002A71C7"/>
    <w:rsid w:val="002A75A1"/>
    <w:rsid w:val="002A76E3"/>
    <w:rsid w:val="002A7785"/>
    <w:rsid w:val="002A779F"/>
    <w:rsid w:val="002B0853"/>
    <w:rsid w:val="002B0E05"/>
    <w:rsid w:val="002B1915"/>
    <w:rsid w:val="002B2F94"/>
    <w:rsid w:val="002B39FD"/>
    <w:rsid w:val="002B3B3E"/>
    <w:rsid w:val="002B3C03"/>
    <w:rsid w:val="002B3E8B"/>
    <w:rsid w:val="002B5BCA"/>
    <w:rsid w:val="002B6176"/>
    <w:rsid w:val="002B6D55"/>
    <w:rsid w:val="002B6E03"/>
    <w:rsid w:val="002B7C9B"/>
    <w:rsid w:val="002C0C00"/>
    <w:rsid w:val="002C1EE8"/>
    <w:rsid w:val="002C2D59"/>
    <w:rsid w:val="002C3201"/>
    <w:rsid w:val="002C4737"/>
    <w:rsid w:val="002C4820"/>
    <w:rsid w:val="002C5B8B"/>
    <w:rsid w:val="002C5C4A"/>
    <w:rsid w:val="002C6CB6"/>
    <w:rsid w:val="002C756E"/>
    <w:rsid w:val="002D0691"/>
    <w:rsid w:val="002D1E5D"/>
    <w:rsid w:val="002D227E"/>
    <w:rsid w:val="002D2B2D"/>
    <w:rsid w:val="002D2C9F"/>
    <w:rsid w:val="002D2D13"/>
    <w:rsid w:val="002D486C"/>
    <w:rsid w:val="002D4B0D"/>
    <w:rsid w:val="002D56E1"/>
    <w:rsid w:val="002D7004"/>
    <w:rsid w:val="002E07C7"/>
    <w:rsid w:val="002E1B94"/>
    <w:rsid w:val="002E2195"/>
    <w:rsid w:val="002E3956"/>
    <w:rsid w:val="002E3D81"/>
    <w:rsid w:val="002E4E3B"/>
    <w:rsid w:val="002E5FCF"/>
    <w:rsid w:val="002E6A7F"/>
    <w:rsid w:val="002E6B73"/>
    <w:rsid w:val="002E731D"/>
    <w:rsid w:val="002E7ACD"/>
    <w:rsid w:val="002E7E95"/>
    <w:rsid w:val="002F0230"/>
    <w:rsid w:val="002F038D"/>
    <w:rsid w:val="002F0D59"/>
    <w:rsid w:val="002F1B44"/>
    <w:rsid w:val="002F1B7B"/>
    <w:rsid w:val="002F25BC"/>
    <w:rsid w:val="002F2E7B"/>
    <w:rsid w:val="002F3C7F"/>
    <w:rsid w:val="002F3DAB"/>
    <w:rsid w:val="002F4B1A"/>
    <w:rsid w:val="002F5B09"/>
    <w:rsid w:val="002F61DE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24EF"/>
    <w:rsid w:val="003036B5"/>
    <w:rsid w:val="003047CA"/>
    <w:rsid w:val="00304D6E"/>
    <w:rsid w:val="00305BF3"/>
    <w:rsid w:val="003076BD"/>
    <w:rsid w:val="0030788B"/>
    <w:rsid w:val="00307B4D"/>
    <w:rsid w:val="00307C34"/>
    <w:rsid w:val="003112ED"/>
    <w:rsid w:val="00311A4A"/>
    <w:rsid w:val="00311AE8"/>
    <w:rsid w:val="00311EB9"/>
    <w:rsid w:val="00312830"/>
    <w:rsid w:val="00314DA8"/>
    <w:rsid w:val="00315619"/>
    <w:rsid w:val="00316469"/>
    <w:rsid w:val="00316661"/>
    <w:rsid w:val="003168D6"/>
    <w:rsid w:val="0031733D"/>
    <w:rsid w:val="00321B3B"/>
    <w:rsid w:val="00321BA1"/>
    <w:rsid w:val="00322183"/>
    <w:rsid w:val="003236C4"/>
    <w:rsid w:val="00324282"/>
    <w:rsid w:val="00324324"/>
    <w:rsid w:val="00325B57"/>
    <w:rsid w:val="003264B8"/>
    <w:rsid w:val="00326B51"/>
    <w:rsid w:val="00326C40"/>
    <w:rsid w:val="00327286"/>
    <w:rsid w:val="00327769"/>
    <w:rsid w:val="00330F68"/>
    <w:rsid w:val="003312A7"/>
    <w:rsid w:val="00331C94"/>
    <w:rsid w:val="00331CA9"/>
    <w:rsid w:val="0033244E"/>
    <w:rsid w:val="00332ED6"/>
    <w:rsid w:val="003337B2"/>
    <w:rsid w:val="00333C97"/>
    <w:rsid w:val="0033488D"/>
    <w:rsid w:val="00335356"/>
    <w:rsid w:val="00336B6F"/>
    <w:rsid w:val="00336E81"/>
    <w:rsid w:val="0033763F"/>
    <w:rsid w:val="0034073E"/>
    <w:rsid w:val="00340832"/>
    <w:rsid w:val="00340FD5"/>
    <w:rsid w:val="00341464"/>
    <w:rsid w:val="003431E8"/>
    <w:rsid w:val="003432F0"/>
    <w:rsid w:val="003434A1"/>
    <w:rsid w:val="0034470F"/>
    <w:rsid w:val="00346C3C"/>
    <w:rsid w:val="0034753F"/>
    <w:rsid w:val="00347C38"/>
    <w:rsid w:val="00347F11"/>
    <w:rsid w:val="00350006"/>
    <w:rsid w:val="00350BAF"/>
    <w:rsid w:val="0035124C"/>
    <w:rsid w:val="0035196D"/>
    <w:rsid w:val="00351EE7"/>
    <w:rsid w:val="00354BF4"/>
    <w:rsid w:val="00354D01"/>
    <w:rsid w:val="0035505B"/>
    <w:rsid w:val="003554CD"/>
    <w:rsid w:val="00355AE9"/>
    <w:rsid w:val="0035606C"/>
    <w:rsid w:val="00356D07"/>
    <w:rsid w:val="0035704B"/>
    <w:rsid w:val="003571B1"/>
    <w:rsid w:val="003578D4"/>
    <w:rsid w:val="0036188C"/>
    <w:rsid w:val="00361AC8"/>
    <w:rsid w:val="00361F88"/>
    <w:rsid w:val="00363137"/>
    <w:rsid w:val="003634E2"/>
    <w:rsid w:val="00364147"/>
    <w:rsid w:val="003658FE"/>
    <w:rsid w:val="00365C42"/>
    <w:rsid w:val="003666D3"/>
    <w:rsid w:val="00366949"/>
    <w:rsid w:val="0036725E"/>
    <w:rsid w:val="00367A20"/>
    <w:rsid w:val="00367FED"/>
    <w:rsid w:val="003706F9"/>
    <w:rsid w:val="003715AF"/>
    <w:rsid w:val="00373035"/>
    <w:rsid w:val="00373E6F"/>
    <w:rsid w:val="00373F21"/>
    <w:rsid w:val="003742AF"/>
    <w:rsid w:val="00374410"/>
    <w:rsid w:val="003746C3"/>
    <w:rsid w:val="00374EED"/>
    <w:rsid w:val="00374F06"/>
    <w:rsid w:val="00376182"/>
    <w:rsid w:val="00376FAF"/>
    <w:rsid w:val="00377921"/>
    <w:rsid w:val="00380554"/>
    <w:rsid w:val="003806FA"/>
    <w:rsid w:val="0038110D"/>
    <w:rsid w:val="0038116D"/>
    <w:rsid w:val="00381542"/>
    <w:rsid w:val="00381D42"/>
    <w:rsid w:val="00381E27"/>
    <w:rsid w:val="003821C8"/>
    <w:rsid w:val="003829B9"/>
    <w:rsid w:val="0038322B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5A4B"/>
    <w:rsid w:val="00395FEA"/>
    <w:rsid w:val="00396B06"/>
    <w:rsid w:val="003978AB"/>
    <w:rsid w:val="003A01DF"/>
    <w:rsid w:val="003A1480"/>
    <w:rsid w:val="003A15B4"/>
    <w:rsid w:val="003A1ED6"/>
    <w:rsid w:val="003A21DE"/>
    <w:rsid w:val="003A3232"/>
    <w:rsid w:val="003A3A4E"/>
    <w:rsid w:val="003A3E49"/>
    <w:rsid w:val="003A6066"/>
    <w:rsid w:val="003A6D57"/>
    <w:rsid w:val="003A7263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261C"/>
    <w:rsid w:val="003C2964"/>
    <w:rsid w:val="003C2D78"/>
    <w:rsid w:val="003C2FD6"/>
    <w:rsid w:val="003C3777"/>
    <w:rsid w:val="003C4B12"/>
    <w:rsid w:val="003C4E94"/>
    <w:rsid w:val="003C5949"/>
    <w:rsid w:val="003C6658"/>
    <w:rsid w:val="003C6B31"/>
    <w:rsid w:val="003C798C"/>
    <w:rsid w:val="003C79E8"/>
    <w:rsid w:val="003D042F"/>
    <w:rsid w:val="003D0464"/>
    <w:rsid w:val="003D165F"/>
    <w:rsid w:val="003D2B60"/>
    <w:rsid w:val="003D4141"/>
    <w:rsid w:val="003D4B4E"/>
    <w:rsid w:val="003D630D"/>
    <w:rsid w:val="003D65F4"/>
    <w:rsid w:val="003D7D26"/>
    <w:rsid w:val="003D7D2C"/>
    <w:rsid w:val="003E0B3D"/>
    <w:rsid w:val="003E0E67"/>
    <w:rsid w:val="003E1A75"/>
    <w:rsid w:val="003E2B2B"/>
    <w:rsid w:val="003E2C2D"/>
    <w:rsid w:val="003E2C86"/>
    <w:rsid w:val="003E3935"/>
    <w:rsid w:val="003E3A21"/>
    <w:rsid w:val="003E45FC"/>
    <w:rsid w:val="003E48AC"/>
    <w:rsid w:val="003E4E48"/>
    <w:rsid w:val="003E51FE"/>
    <w:rsid w:val="003E6A35"/>
    <w:rsid w:val="003E726A"/>
    <w:rsid w:val="003E7403"/>
    <w:rsid w:val="003F0AA6"/>
    <w:rsid w:val="003F0E95"/>
    <w:rsid w:val="003F24B9"/>
    <w:rsid w:val="003F3631"/>
    <w:rsid w:val="003F3EFD"/>
    <w:rsid w:val="003F4068"/>
    <w:rsid w:val="003F4C2D"/>
    <w:rsid w:val="003F52AD"/>
    <w:rsid w:val="003F7583"/>
    <w:rsid w:val="003F76D8"/>
    <w:rsid w:val="003F7D93"/>
    <w:rsid w:val="003F7EAC"/>
    <w:rsid w:val="00401F72"/>
    <w:rsid w:val="004024C7"/>
    <w:rsid w:val="00403146"/>
    <w:rsid w:val="00403DE5"/>
    <w:rsid w:val="00403E00"/>
    <w:rsid w:val="004048F2"/>
    <w:rsid w:val="00404B86"/>
    <w:rsid w:val="00405665"/>
    <w:rsid w:val="004074D3"/>
    <w:rsid w:val="004110AD"/>
    <w:rsid w:val="004112A5"/>
    <w:rsid w:val="00415306"/>
    <w:rsid w:val="004155D7"/>
    <w:rsid w:val="00416636"/>
    <w:rsid w:val="00417C19"/>
    <w:rsid w:val="00420607"/>
    <w:rsid w:val="0042083B"/>
    <w:rsid w:val="00420C63"/>
    <w:rsid w:val="00421469"/>
    <w:rsid w:val="00422541"/>
    <w:rsid w:val="00422E5C"/>
    <w:rsid w:val="004238F2"/>
    <w:rsid w:val="00425780"/>
    <w:rsid w:val="00425A90"/>
    <w:rsid w:val="00425E7A"/>
    <w:rsid w:val="0042603D"/>
    <w:rsid w:val="00426138"/>
    <w:rsid w:val="00426E0C"/>
    <w:rsid w:val="00427861"/>
    <w:rsid w:val="00427DA6"/>
    <w:rsid w:val="0043103A"/>
    <w:rsid w:val="0043130F"/>
    <w:rsid w:val="00431A04"/>
    <w:rsid w:val="004321C5"/>
    <w:rsid w:val="004325D2"/>
    <w:rsid w:val="004333ED"/>
    <w:rsid w:val="00433991"/>
    <w:rsid w:val="00433FD7"/>
    <w:rsid w:val="00434225"/>
    <w:rsid w:val="00434AAA"/>
    <w:rsid w:val="0043516A"/>
    <w:rsid w:val="004374E0"/>
    <w:rsid w:val="004402E7"/>
    <w:rsid w:val="00440802"/>
    <w:rsid w:val="004408A5"/>
    <w:rsid w:val="0044128E"/>
    <w:rsid w:val="004414FD"/>
    <w:rsid w:val="0044254E"/>
    <w:rsid w:val="00442724"/>
    <w:rsid w:val="00443412"/>
    <w:rsid w:val="00443446"/>
    <w:rsid w:val="00444133"/>
    <w:rsid w:val="00446216"/>
    <w:rsid w:val="004464BD"/>
    <w:rsid w:val="004477C3"/>
    <w:rsid w:val="004503C7"/>
    <w:rsid w:val="004507E5"/>
    <w:rsid w:val="00450B44"/>
    <w:rsid w:val="00450CBC"/>
    <w:rsid w:val="00451367"/>
    <w:rsid w:val="00452AC9"/>
    <w:rsid w:val="00453E62"/>
    <w:rsid w:val="00453ED1"/>
    <w:rsid w:val="004541FD"/>
    <w:rsid w:val="00454971"/>
    <w:rsid w:val="004555C8"/>
    <w:rsid w:val="00455DA7"/>
    <w:rsid w:val="0045657F"/>
    <w:rsid w:val="00456B60"/>
    <w:rsid w:val="00460119"/>
    <w:rsid w:val="004603A0"/>
    <w:rsid w:val="00461010"/>
    <w:rsid w:val="004620E3"/>
    <w:rsid w:val="00462950"/>
    <w:rsid w:val="00462D96"/>
    <w:rsid w:val="0046490E"/>
    <w:rsid w:val="00464FE8"/>
    <w:rsid w:val="00466C06"/>
    <w:rsid w:val="004674FC"/>
    <w:rsid w:val="00471063"/>
    <w:rsid w:val="00471B3F"/>
    <w:rsid w:val="004723C7"/>
    <w:rsid w:val="004732A1"/>
    <w:rsid w:val="00473331"/>
    <w:rsid w:val="004735B6"/>
    <w:rsid w:val="004742E0"/>
    <w:rsid w:val="00474746"/>
    <w:rsid w:val="0047521A"/>
    <w:rsid w:val="00475F81"/>
    <w:rsid w:val="004761CD"/>
    <w:rsid w:val="00476675"/>
    <w:rsid w:val="00476B9C"/>
    <w:rsid w:val="00477D7E"/>
    <w:rsid w:val="0048024B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E8E"/>
    <w:rsid w:val="00485132"/>
    <w:rsid w:val="004859E6"/>
    <w:rsid w:val="00485A26"/>
    <w:rsid w:val="00486AED"/>
    <w:rsid w:val="00487272"/>
    <w:rsid w:val="00490132"/>
    <w:rsid w:val="00490D13"/>
    <w:rsid w:val="00492480"/>
    <w:rsid w:val="00492A94"/>
    <w:rsid w:val="00492C89"/>
    <w:rsid w:val="004933DC"/>
    <w:rsid w:val="00493D32"/>
    <w:rsid w:val="00495080"/>
    <w:rsid w:val="0049619D"/>
    <w:rsid w:val="00497113"/>
    <w:rsid w:val="004A0388"/>
    <w:rsid w:val="004A03A0"/>
    <w:rsid w:val="004A0414"/>
    <w:rsid w:val="004A0998"/>
    <w:rsid w:val="004A10E1"/>
    <w:rsid w:val="004A1710"/>
    <w:rsid w:val="004A20AB"/>
    <w:rsid w:val="004A221A"/>
    <w:rsid w:val="004A24B3"/>
    <w:rsid w:val="004A32E6"/>
    <w:rsid w:val="004A35C7"/>
    <w:rsid w:val="004A3E99"/>
    <w:rsid w:val="004A3F28"/>
    <w:rsid w:val="004A405A"/>
    <w:rsid w:val="004A589F"/>
    <w:rsid w:val="004A5F86"/>
    <w:rsid w:val="004A70E6"/>
    <w:rsid w:val="004B2A6F"/>
    <w:rsid w:val="004B2B7F"/>
    <w:rsid w:val="004B460A"/>
    <w:rsid w:val="004B4BC3"/>
    <w:rsid w:val="004B5C90"/>
    <w:rsid w:val="004B652B"/>
    <w:rsid w:val="004B6958"/>
    <w:rsid w:val="004B706D"/>
    <w:rsid w:val="004B7473"/>
    <w:rsid w:val="004C163C"/>
    <w:rsid w:val="004C1FE4"/>
    <w:rsid w:val="004C33DB"/>
    <w:rsid w:val="004C39AF"/>
    <w:rsid w:val="004C40BE"/>
    <w:rsid w:val="004C421E"/>
    <w:rsid w:val="004C44DA"/>
    <w:rsid w:val="004C575A"/>
    <w:rsid w:val="004C5C1E"/>
    <w:rsid w:val="004C7734"/>
    <w:rsid w:val="004C7A4E"/>
    <w:rsid w:val="004C7F23"/>
    <w:rsid w:val="004D0791"/>
    <w:rsid w:val="004D1CE3"/>
    <w:rsid w:val="004D1D8C"/>
    <w:rsid w:val="004D1E11"/>
    <w:rsid w:val="004D20D6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983"/>
    <w:rsid w:val="004E10C6"/>
    <w:rsid w:val="004E1249"/>
    <w:rsid w:val="004E14B8"/>
    <w:rsid w:val="004E1E0B"/>
    <w:rsid w:val="004E1F87"/>
    <w:rsid w:val="004E21D3"/>
    <w:rsid w:val="004E2841"/>
    <w:rsid w:val="004E3C7D"/>
    <w:rsid w:val="004E3CC2"/>
    <w:rsid w:val="004E456A"/>
    <w:rsid w:val="004E52E1"/>
    <w:rsid w:val="004E7581"/>
    <w:rsid w:val="004E7687"/>
    <w:rsid w:val="004E775D"/>
    <w:rsid w:val="004F0850"/>
    <w:rsid w:val="004F1049"/>
    <w:rsid w:val="004F20CB"/>
    <w:rsid w:val="004F2487"/>
    <w:rsid w:val="004F484F"/>
    <w:rsid w:val="004F52AA"/>
    <w:rsid w:val="004F531A"/>
    <w:rsid w:val="004F64F4"/>
    <w:rsid w:val="004F76E0"/>
    <w:rsid w:val="0050001C"/>
    <w:rsid w:val="005008A3"/>
    <w:rsid w:val="00500FB2"/>
    <w:rsid w:val="0050107D"/>
    <w:rsid w:val="00501DA9"/>
    <w:rsid w:val="0050212E"/>
    <w:rsid w:val="00502AEF"/>
    <w:rsid w:val="0050362C"/>
    <w:rsid w:val="00503BEE"/>
    <w:rsid w:val="00504516"/>
    <w:rsid w:val="00506493"/>
    <w:rsid w:val="005073CF"/>
    <w:rsid w:val="005117AC"/>
    <w:rsid w:val="00511E33"/>
    <w:rsid w:val="00512610"/>
    <w:rsid w:val="00512AED"/>
    <w:rsid w:val="00513327"/>
    <w:rsid w:val="00513D1A"/>
    <w:rsid w:val="00515F90"/>
    <w:rsid w:val="00515FAC"/>
    <w:rsid w:val="00516223"/>
    <w:rsid w:val="00516566"/>
    <w:rsid w:val="00516D23"/>
    <w:rsid w:val="00520EF5"/>
    <w:rsid w:val="005210D9"/>
    <w:rsid w:val="00521AEE"/>
    <w:rsid w:val="005228C0"/>
    <w:rsid w:val="00522A4E"/>
    <w:rsid w:val="00522D67"/>
    <w:rsid w:val="00524C51"/>
    <w:rsid w:val="00524D3F"/>
    <w:rsid w:val="00525431"/>
    <w:rsid w:val="00526038"/>
    <w:rsid w:val="00526157"/>
    <w:rsid w:val="00526479"/>
    <w:rsid w:val="005271DF"/>
    <w:rsid w:val="0052759B"/>
    <w:rsid w:val="005302B2"/>
    <w:rsid w:val="00530493"/>
    <w:rsid w:val="00530E25"/>
    <w:rsid w:val="0053112F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994"/>
    <w:rsid w:val="005369C7"/>
    <w:rsid w:val="00540FD2"/>
    <w:rsid w:val="00541D1C"/>
    <w:rsid w:val="00541E77"/>
    <w:rsid w:val="00541F1E"/>
    <w:rsid w:val="005425E6"/>
    <w:rsid w:val="00542924"/>
    <w:rsid w:val="00542A66"/>
    <w:rsid w:val="00542DC6"/>
    <w:rsid w:val="0054357B"/>
    <w:rsid w:val="00544C92"/>
    <w:rsid w:val="00544D1E"/>
    <w:rsid w:val="00544E11"/>
    <w:rsid w:val="00545D04"/>
    <w:rsid w:val="005463C2"/>
    <w:rsid w:val="005468FB"/>
    <w:rsid w:val="00546D92"/>
    <w:rsid w:val="00546DF0"/>
    <w:rsid w:val="00546EAF"/>
    <w:rsid w:val="0054714C"/>
    <w:rsid w:val="00550993"/>
    <w:rsid w:val="00551148"/>
    <w:rsid w:val="00551B20"/>
    <w:rsid w:val="005525CF"/>
    <w:rsid w:val="00553692"/>
    <w:rsid w:val="005539F7"/>
    <w:rsid w:val="00555002"/>
    <w:rsid w:val="005561D4"/>
    <w:rsid w:val="00561AC4"/>
    <w:rsid w:val="00562312"/>
    <w:rsid w:val="005639AA"/>
    <w:rsid w:val="00563B6E"/>
    <w:rsid w:val="00563BE1"/>
    <w:rsid w:val="00563EFD"/>
    <w:rsid w:val="005641AE"/>
    <w:rsid w:val="00564F2D"/>
    <w:rsid w:val="0056547A"/>
    <w:rsid w:val="00565CDB"/>
    <w:rsid w:val="00565D91"/>
    <w:rsid w:val="0056627D"/>
    <w:rsid w:val="005667B7"/>
    <w:rsid w:val="0057207C"/>
    <w:rsid w:val="00572B13"/>
    <w:rsid w:val="00572D95"/>
    <w:rsid w:val="005739E3"/>
    <w:rsid w:val="00573DBC"/>
    <w:rsid w:val="00574CF6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F06"/>
    <w:rsid w:val="00577FB7"/>
    <w:rsid w:val="00580229"/>
    <w:rsid w:val="00580629"/>
    <w:rsid w:val="00581199"/>
    <w:rsid w:val="00581A8F"/>
    <w:rsid w:val="00581C4E"/>
    <w:rsid w:val="00581EC1"/>
    <w:rsid w:val="00582356"/>
    <w:rsid w:val="00582E84"/>
    <w:rsid w:val="00582F42"/>
    <w:rsid w:val="005847E0"/>
    <w:rsid w:val="00584820"/>
    <w:rsid w:val="00584AA5"/>
    <w:rsid w:val="00584E3C"/>
    <w:rsid w:val="005854E1"/>
    <w:rsid w:val="005854EF"/>
    <w:rsid w:val="00586304"/>
    <w:rsid w:val="0058681F"/>
    <w:rsid w:val="00587769"/>
    <w:rsid w:val="00587C48"/>
    <w:rsid w:val="00587DF0"/>
    <w:rsid w:val="00590D40"/>
    <w:rsid w:val="0059135B"/>
    <w:rsid w:val="005919ED"/>
    <w:rsid w:val="00592011"/>
    <w:rsid w:val="00592666"/>
    <w:rsid w:val="005954E1"/>
    <w:rsid w:val="00597960"/>
    <w:rsid w:val="005A03F5"/>
    <w:rsid w:val="005A07B1"/>
    <w:rsid w:val="005A0F8A"/>
    <w:rsid w:val="005A1148"/>
    <w:rsid w:val="005A12C9"/>
    <w:rsid w:val="005A1910"/>
    <w:rsid w:val="005A1A34"/>
    <w:rsid w:val="005A2514"/>
    <w:rsid w:val="005A32BA"/>
    <w:rsid w:val="005A4AC6"/>
    <w:rsid w:val="005A4E75"/>
    <w:rsid w:val="005A4F50"/>
    <w:rsid w:val="005A6971"/>
    <w:rsid w:val="005B14FD"/>
    <w:rsid w:val="005B1C1C"/>
    <w:rsid w:val="005B1CFB"/>
    <w:rsid w:val="005B24F5"/>
    <w:rsid w:val="005B29C0"/>
    <w:rsid w:val="005B2D3A"/>
    <w:rsid w:val="005B5963"/>
    <w:rsid w:val="005B6734"/>
    <w:rsid w:val="005B6828"/>
    <w:rsid w:val="005B6A8D"/>
    <w:rsid w:val="005B6F08"/>
    <w:rsid w:val="005B6FB7"/>
    <w:rsid w:val="005C2903"/>
    <w:rsid w:val="005C296D"/>
    <w:rsid w:val="005C341C"/>
    <w:rsid w:val="005C3616"/>
    <w:rsid w:val="005C36CB"/>
    <w:rsid w:val="005C3C9A"/>
    <w:rsid w:val="005C4AAA"/>
    <w:rsid w:val="005C5489"/>
    <w:rsid w:val="005C5E3B"/>
    <w:rsid w:val="005C60B5"/>
    <w:rsid w:val="005C768B"/>
    <w:rsid w:val="005C773A"/>
    <w:rsid w:val="005C7F03"/>
    <w:rsid w:val="005D0735"/>
    <w:rsid w:val="005D113E"/>
    <w:rsid w:val="005D2168"/>
    <w:rsid w:val="005D27E2"/>
    <w:rsid w:val="005D655F"/>
    <w:rsid w:val="005D6CAB"/>
    <w:rsid w:val="005D763A"/>
    <w:rsid w:val="005D791F"/>
    <w:rsid w:val="005D7AD8"/>
    <w:rsid w:val="005E0676"/>
    <w:rsid w:val="005E07A4"/>
    <w:rsid w:val="005E08A7"/>
    <w:rsid w:val="005E1D31"/>
    <w:rsid w:val="005E405C"/>
    <w:rsid w:val="005E5330"/>
    <w:rsid w:val="005E53FA"/>
    <w:rsid w:val="005E5461"/>
    <w:rsid w:val="005E56C0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600E34"/>
    <w:rsid w:val="00604593"/>
    <w:rsid w:val="006046E1"/>
    <w:rsid w:val="00604994"/>
    <w:rsid w:val="00604B10"/>
    <w:rsid w:val="00604C3C"/>
    <w:rsid w:val="00604CA8"/>
    <w:rsid w:val="00605E3D"/>
    <w:rsid w:val="00606339"/>
    <w:rsid w:val="00606E01"/>
    <w:rsid w:val="00606F91"/>
    <w:rsid w:val="006076D5"/>
    <w:rsid w:val="006109CC"/>
    <w:rsid w:val="00610CD3"/>
    <w:rsid w:val="0061248D"/>
    <w:rsid w:val="00612BA1"/>
    <w:rsid w:val="0061356E"/>
    <w:rsid w:val="00613A12"/>
    <w:rsid w:val="00613A84"/>
    <w:rsid w:val="0061517C"/>
    <w:rsid w:val="00615A71"/>
    <w:rsid w:val="00615C74"/>
    <w:rsid w:val="006160C7"/>
    <w:rsid w:val="006164FF"/>
    <w:rsid w:val="00616B33"/>
    <w:rsid w:val="00617566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BD"/>
    <w:rsid w:val="00624871"/>
    <w:rsid w:val="00624DFC"/>
    <w:rsid w:val="006253AF"/>
    <w:rsid w:val="00625C8E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73A"/>
    <w:rsid w:val="006336DD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3189"/>
    <w:rsid w:val="006433C2"/>
    <w:rsid w:val="006436AF"/>
    <w:rsid w:val="00643BD7"/>
    <w:rsid w:val="006448D7"/>
    <w:rsid w:val="006449C1"/>
    <w:rsid w:val="00645391"/>
    <w:rsid w:val="00646CB9"/>
    <w:rsid w:val="00647D56"/>
    <w:rsid w:val="00647D78"/>
    <w:rsid w:val="006507F4"/>
    <w:rsid w:val="006512B1"/>
    <w:rsid w:val="00652177"/>
    <w:rsid w:val="0065257E"/>
    <w:rsid w:val="00652780"/>
    <w:rsid w:val="00652B69"/>
    <w:rsid w:val="00652EA4"/>
    <w:rsid w:val="00652FEA"/>
    <w:rsid w:val="00653200"/>
    <w:rsid w:val="006540B2"/>
    <w:rsid w:val="0065510B"/>
    <w:rsid w:val="00655605"/>
    <w:rsid w:val="006562B2"/>
    <w:rsid w:val="006565EC"/>
    <w:rsid w:val="00657006"/>
    <w:rsid w:val="006601F0"/>
    <w:rsid w:val="006628F1"/>
    <w:rsid w:val="0066295F"/>
    <w:rsid w:val="0066352E"/>
    <w:rsid w:val="00665476"/>
    <w:rsid w:val="006657D3"/>
    <w:rsid w:val="00665B79"/>
    <w:rsid w:val="00667089"/>
    <w:rsid w:val="0066748A"/>
    <w:rsid w:val="00667BA3"/>
    <w:rsid w:val="006725FF"/>
    <w:rsid w:val="00673FF7"/>
    <w:rsid w:val="00674DD3"/>
    <w:rsid w:val="006752EF"/>
    <w:rsid w:val="00676B8E"/>
    <w:rsid w:val="00681589"/>
    <w:rsid w:val="006816F2"/>
    <w:rsid w:val="006828B9"/>
    <w:rsid w:val="00682DBF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B19"/>
    <w:rsid w:val="00691D36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243F"/>
    <w:rsid w:val="006B30F6"/>
    <w:rsid w:val="006B3169"/>
    <w:rsid w:val="006B3571"/>
    <w:rsid w:val="006B4698"/>
    <w:rsid w:val="006B52A7"/>
    <w:rsid w:val="006B57E2"/>
    <w:rsid w:val="006B580F"/>
    <w:rsid w:val="006B6C2A"/>
    <w:rsid w:val="006B6D06"/>
    <w:rsid w:val="006B76B3"/>
    <w:rsid w:val="006C04FA"/>
    <w:rsid w:val="006C0837"/>
    <w:rsid w:val="006C1ADD"/>
    <w:rsid w:val="006C1B41"/>
    <w:rsid w:val="006C3262"/>
    <w:rsid w:val="006C45C8"/>
    <w:rsid w:val="006C6318"/>
    <w:rsid w:val="006C6C80"/>
    <w:rsid w:val="006C7733"/>
    <w:rsid w:val="006D0BCC"/>
    <w:rsid w:val="006D0BD3"/>
    <w:rsid w:val="006D0D5A"/>
    <w:rsid w:val="006D3077"/>
    <w:rsid w:val="006D4387"/>
    <w:rsid w:val="006D598D"/>
    <w:rsid w:val="006D5A91"/>
    <w:rsid w:val="006D63FA"/>
    <w:rsid w:val="006D657F"/>
    <w:rsid w:val="006D77A6"/>
    <w:rsid w:val="006D7860"/>
    <w:rsid w:val="006E067D"/>
    <w:rsid w:val="006E0AFD"/>
    <w:rsid w:val="006E0C7E"/>
    <w:rsid w:val="006E1287"/>
    <w:rsid w:val="006E139D"/>
    <w:rsid w:val="006E4572"/>
    <w:rsid w:val="006E4F9B"/>
    <w:rsid w:val="006E61FA"/>
    <w:rsid w:val="006E6AAA"/>
    <w:rsid w:val="006F0AE3"/>
    <w:rsid w:val="006F14F6"/>
    <w:rsid w:val="006F2099"/>
    <w:rsid w:val="006F2408"/>
    <w:rsid w:val="006F34B5"/>
    <w:rsid w:val="006F3806"/>
    <w:rsid w:val="006F4189"/>
    <w:rsid w:val="006F57FE"/>
    <w:rsid w:val="006F5D99"/>
    <w:rsid w:val="006F722C"/>
    <w:rsid w:val="006F7D97"/>
    <w:rsid w:val="007009EE"/>
    <w:rsid w:val="00701618"/>
    <w:rsid w:val="007022C0"/>
    <w:rsid w:val="00702454"/>
    <w:rsid w:val="00702F1A"/>
    <w:rsid w:val="0070328C"/>
    <w:rsid w:val="007037B6"/>
    <w:rsid w:val="00703A1F"/>
    <w:rsid w:val="00703E18"/>
    <w:rsid w:val="00704113"/>
    <w:rsid w:val="00705125"/>
    <w:rsid w:val="00705B95"/>
    <w:rsid w:val="00705C90"/>
    <w:rsid w:val="00706E0B"/>
    <w:rsid w:val="00707300"/>
    <w:rsid w:val="00707935"/>
    <w:rsid w:val="0071064E"/>
    <w:rsid w:val="00711B45"/>
    <w:rsid w:val="007120D6"/>
    <w:rsid w:val="00712616"/>
    <w:rsid w:val="00714374"/>
    <w:rsid w:val="00714BD5"/>
    <w:rsid w:val="0071599D"/>
    <w:rsid w:val="007173E7"/>
    <w:rsid w:val="00720707"/>
    <w:rsid w:val="00720951"/>
    <w:rsid w:val="00720A47"/>
    <w:rsid w:val="0072136A"/>
    <w:rsid w:val="007218C1"/>
    <w:rsid w:val="00722281"/>
    <w:rsid w:val="007227A3"/>
    <w:rsid w:val="00722CAC"/>
    <w:rsid w:val="00722E16"/>
    <w:rsid w:val="0072330E"/>
    <w:rsid w:val="0072491D"/>
    <w:rsid w:val="00724AF2"/>
    <w:rsid w:val="00724D65"/>
    <w:rsid w:val="00725154"/>
    <w:rsid w:val="0072524B"/>
    <w:rsid w:val="00725A44"/>
    <w:rsid w:val="00725D45"/>
    <w:rsid w:val="00731036"/>
    <w:rsid w:val="00731F1F"/>
    <w:rsid w:val="00732650"/>
    <w:rsid w:val="0073298A"/>
    <w:rsid w:val="00733988"/>
    <w:rsid w:val="0073449C"/>
    <w:rsid w:val="00734BF8"/>
    <w:rsid w:val="00735370"/>
    <w:rsid w:val="00735FF3"/>
    <w:rsid w:val="00736ECC"/>
    <w:rsid w:val="00740B25"/>
    <w:rsid w:val="007414C8"/>
    <w:rsid w:val="00741A39"/>
    <w:rsid w:val="0074266D"/>
    <w:rsid w:val="00742CCE"/>
    <w:rsid w:val="00742E34"/>
    <w:rsid w:val="00742E77"/>
    <w:rsid w:val="00742FDB"/>
    <w:rsid w:val="0074352B"/>
    <w:rsid w:val="00743C01"/>
    <w:rsid w:val="00743DA7"/>
    <w:rsid w:val="0074481A"/>
    <w:rsid w:val="007465DC"/>
    <w:rsid w:val="00746E28"/>
    <w:rsid w:val="00747710"/>
    <w:rsid w:val="00747A2C"/>
    <w:rsid w:val="00747BEB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55E"/>
    <w:rsid w:val="0075586B"/>
    <w:rsid w:val="00757186"/>
    <w:rsid w:val="00757B7B"/>
    <w:rsid w:val="00757CC6"/>
    <w:rsid w:val="00760383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70878"/>
    <w:rsid w:val="00770B16"/>
    <w:rsid w:val="0077263B"/>
    <w:rsid w:val="00772B2A"/>
    <w:rsid w:val="00774BFA"/>
    <w:rsid w:val="0077537B"/>
    <w:rsid w:val="007756B4"/>
    <w:rsid w:val="00775A9D"/>
    <w:rsid w:val="0077618A"/>
    <w:rsid w:val="00776350"/>
    <w:rsid w:val="00776970"/>
    <w:rsid w:val="00776B0B"/>
    <w:rsid w:val="00777321"/>
    <w:rsid w:val="00780249"/>
    <w:rsid w:val="007804AF"/>
    <w:rsid w:val="007808EB"/>
    <w:rsid w:val="00781810"/>
    <w:rsid w:val="00781CAB"/>
    <w:rsid w:val="007831CD"/>
    <w:rsid w:val="0078327D"/>
    <w:rsid w:val="0078407E"/>
    <w:rsid w:val="007846C1"/>
    <w:rsid w:val="007849AE"/>
    <w:rsid w:val="007873A3"/>
    <w:rsid w:val="00787B4B"/>
    <w:rsid w:val="00790495"/>
    <w:rsid w:val="00790AA2"/>
    <w:rsid w:val="00791CD0"/>
    <w:rsid w:val="007923CD"/>
    <w:rsid w:val="00793E4B"/>
    <w:rsid w:val="0079402D"/>
    <w:rsid w:val="00794365"/>
    <w:rsid w:val="00795863"/>
    <w:rsid w:val="007974B6"/>
    <w:rsid w:val="007A0071"/>
    <w:rsid w:val="007A0AD3"/>
    <w:rsid w:val="007A2A43"/>
    <w:rsid w:val="007A2E23"/>
    <w:rsid w:val="007A32DC"/>
    <w:rsid w:val="007A3A3A"/>
    <w:rsid w:val="007A3E59"/>
    <w:rsid w:val="007A46E8"/>
    <w:rsid w:val="007A5E30"/>
    <w:rsid w:val="007B1C9B"/>
    <w:rsid w:val="007B20E7"/>
    <w:rsid w:val="007B3E9A"/>
    <w:rsid w:val="007B499C"/>
    <w:rsid w:val="007B4BFB"/>
    <w:rsid w:val="007B5963"/>
    <w:rsid w:val="007C1D3C"/>
    <w:rsid w:val="007C3803"/>
    <w:rsid w:val="007C3BB1"/>
    <w:rsid w:val="007C4351"/>
    <w:rsid w:val="007C521B"/>
    <w:rsid w:val="007C58E0"/>
    <w:rsid w:val="007C5D2F"/>
    <w:rsid w:val="007C68BC"/>
    <w:rsid w:val="007C6C34"/>
    <w:rsid w:val="007C6EFE"/>
    <w:rsid w:val="007C71E8"/>
    <w:rsid w:val="007C7BE1"/>
    <w:rsid w:val="007D09B0"/>
    <w:rsid w:val="007D0E9F"/>
    <w:rsid w:val="007D0F1E"/>
    <w:rsid w:val="007D1F16"/>
    <w:rsid w:val="007D254A"/>
    <w:rsid w:val="007D2C04"/>
    <w:rsid w:val="007D2CCF"/>
    <w:rsid w:val="007D38B8"/>
    <w:rsid w:val="007D3AF4"/>
    <w:rsid w:val="007D3F73"/>
    <w:rsid w:val="007D4E0E"/>
    <w:rsid w:val="007D516D"/>
    <w:rsid w:val="007D541E"/>
    <w:rsid w:val="007D611B"/>
    <w:rsid w:val="007D6865"/>
    <w:rsid w:val="007D767C"/>
    <w:rsid w:val="007D77CB"/>
    <w:rsid w:val="007D7944"/>
    <w:rsid w:val="007D7A0E"/>
    <w:rsid w:val="007E205F"/>
    <w:rsid w:val="007E3576"/>
    <w:rsid w:val="007E3BD6"/>
    <w:rsid w:val="007E438C"/>
    <w:rsid w:val="007E4455"/>
    <w:rsid w:val="007E570F"/>
    <w:rsid w:val="007E5BD1"/>
    <w:rsid w:val="007E63A6"/>
    <w:rsid w:val="007E6545"/>
    <w:rsid w:val="007E6781"/>
    <w:rsid w:val="007E6FA0"/>
    <w:rsid w:val="007E72FB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594B"/>
    <w:rsid w:val="007F7F42"/>
    <w:rsid w:val="00800133"/>
    <w:rsid w:val="00800C4F"/>
    <w:rsid w:val="008022E1"/>
    <w:rsid w:val="00803553"/>
    <w:rsid w:val="00803BF7"/>
    <w:rsid w:val="00803DD0"/>
    <w:rsid w:val="008048AB"/>
    <w:rsid w:val="00804E7B"/>
    <w:rsid w:val="008056A3"/>
    <w:rsid w:val="00807605"/>
    <w:rsid w:val="00807B96"/>
    <w:rsid w:val="008110B3"/>
    <w:rsid w:val="00811AD3"/>
    <w:rsid w:val="00811CAC"/>
    <w:rsid w:val="00813D11"/>
    <w:rsid w:val="00813EA5"/>
    <w:rsid w:val="00814F18"/>
    <w:rsid w:val="00815E5E"/>
    <w:rsid w:val="008162FC"/>
    <w:rsid w:val="0082171F"/>
    <w:rsid w:val="008243A3"/>
    <w:rsid w:val="00824894"/>
    <w:rsid w:val="00824D19"/>
    <w:rsid w:val="008252CC"/>
    <w:rsid w:val="0082581D"/>
    <w:rsid w:val="0082615F"/>
    <w:rsid w:val="008267E7"/>
    <w:rsid w:val="00830FCC"/>
    <w:rsid w:val="00832163"/>
    <w:rsid w:val="008327EB"/>
    <w:rsid w:val="008331AB"/>
    <w:rsid w:val="0083461D"/>
    <w:rsid w:val="00834938"/>
    <w:rsid w:val="00834C1E"/>
    <w:rsid w:val="00834CAF"/>
    <w:rsid w:val="00834E68"/>
    <w:rsid w:val="00835E68"/>
    <w:rsid w:val="0083751C"/>
    <w:rsid w:val="008378FC"/>
    <w:rsid w:val="00837ED8"/>
    <w:rsid w:val="00840D42"/>
    <w:rsid w:val="00840DD7"/>
    <w:rsid w:val="00841191"/>
    <w:rsid w:val="0084154A"/>
    <w:rsid w:val="00841DA8"/>
    <w:rsid w:val="00842D92"/>
    <w:rsid w:val="0084332F"/>
    <w:rsid w:val="00843896"/>
    <w:rsid w:val="0084601D"/>
    <w:rsid w:val="008467D3"/>
    <w:rsid w:val="008470D2"/>
    <w:rsid w:val="00850734"/>
    <w:rsid w:val="00852118"/>
    <w:rsid w:val="00852969"/>
    <w:rsid w:val="00852A4E"/>
    <w:rsid w:val="00853720"/>
    <w:rsid w:val="00853E37"/>
    <w:rsid w:val="008545D7"/>
    <w:rsid w:val="008548A5"/>
    <w:rsid w:val="0085769D"/>
    <w:rsid w:val="008601CB"/>
    <w:rsid w:val="00861DD5"/>
    <w:rsid w:val="008620D9"/>
    <w:rsid w:val="0086288F"/>
    <w:rsid w:val="00862F54"/>
    <w:rsid w:val="008640E9"/>
    <w:rsid w:val="00864B2A"/>
    <w:rsid w:val="00865F14"/>
    <w:rsid w:val="00870312"/>
    <w:rsid w:val="00870492"/>
    <w:rsid w:val="008707AC"/>
    <w:rsid w:val="00872E28"/>
    <w:rsid w:val="00872FCF"/>
    <w:rsid w:val="00873E07"/>
    <w:rsid w:val="00873E74"/>
    <w:rsid w:val="00876391"/>
    <w:rsid w:val="008773AF"/>
    <w:rsid w:val="0087758D"/>
    <w:rsid w:val="00877A7E"/>
    <w:rsid w:val="00880AA0"/>
    <w:rsid w:val="008810B3"/>
    <w:rsid w:val="0088151C"/>
    <w:rsid w:val="00881543"/>
    <w:rsid w:val="008817D9"/>
    <w:rsid w:val="00882EDF"/>
    <w:rsid w:val="00883112"/>
    <w:rsid w:val="0088344B"/>
    <w:rsid w:val="008837CA"/>
    <w:rsid w:val="00883D8A"/>
    <w:rsid w:val="008857EC"/>
    <w:rsid w:val="008864DE"/>
    <w:rsid w:val="00886913"/>
    <w:rsid w:val="00886F39"/>
    <w:rsid w:val="008878C5"/>
    <w:rsid w:val="00887AEB"/>
    <w:rsid w:val="008913C1"/>
    <w:rsid w:val="00891474"/>
    <w:rsid w:val="00891566"/>
    <w:rsid w:val="00891E54"/>
    <w:rsid w:val="0089221B"/>
    <w:rsid w:val="00893270"/>
    <w:rsid w:val="00893E77"/>
    <w:rsid w:val="00893F70"/>
    <w:rsid w:val="008943C6"/>
    <w:rsid w:val="0089537A"/>
    <w:rsid w:val="00895F04"/>
    <w:rsid w:val="008968A8"/>
    <w:rsid w:val="0089699F"/>
    <w:rsid w:val="00897DDA"/>
    <w:rsid w:val="008A03C4"/>
    <w:rsid w:val="008A0552"/>
    <w:rsid w:val="008A07BB"/>
    <w:rsid w:val="008A26F4"/>
    <w:rsid w:val="008A2D78"/>
    <w:rsid w:val="008A2FB6"/>
    <w:rsid w:val="008A33B8"/>
    <w:rsid w:val="008A376A"/>
    <w:rsid w:val="008A3A25"/>
    <w:rsid w:val="008A502C"/>
    <w:rsid w:val="008A67C7"/>
    <w:rsid w:val="008A712B"/>
    <w:rsid w:val="008A7317"/>
    <w:rsid w:val="008A7FE6"/>
    <w:rsid w:val="008B0785"/>
    <w:rsid w:val="008B1ED5"/>
    <w:rsid w:val="008B2019"/>
    <w:rsid w:val="008B2B66"/>
    <w:rsid w:val="008B33A6"/>
    <w:rsid w:val="008B33D8"/>
    <w:rsid w:val="008B3F12"/>
    <w:rsid w:val="008B3F1B"/>
    <w:rsid w:val="008B4B63"/>
    <w:rsid w:val="008B63D9"/>
    <w:rsid w:val="008B6B47"/>
    <w:rsid w:val="008B74C6"/>
    <w:rsid w:val="008C0B58"/>
    <w:rsid w:val="008C28F9"/>
    <w:rsid w:val="008C3813"/>
    <w:rsid w:val="008C383D"/>
    <w:rsid w:val="008C5040"/>
    <w:rsid w:val="008C566C"/>
    <w:rsid w:val="008C59EE"/>
    <w:rsid w:val="008C5AC6"/>
    <w:rsid w:val="008C6077"/>
    <w:rsid w:val="008D0075"/>
    <w:rsid w:val="008D072F"/>
    <w:rsid w:val="008D2072"/>
    <w:rsid w:val="008D223E"/>
    <w:rsid w:val="008D25B6"/>
    <w:rsid w:val="008D4563"/>
    <w:rsid w:val="008D5754"/>
    <w:rsid w:val="008D57B4"/>
    <w:rsid w:val="008D6077"/>
    <w:rsid w:val="008D66B9"/>
    <w:rsid w:val="008D6A73"/>
    <w:rsid w:val="008D6AB7"/>
    <w:rsid w:val="008D7649"/>
    <w:rsid w:val="008D7BC9"/>
    <w:rsid w:val="008E14EE"/>
    <w:rsid w:val="008E1516"/>
    <w:rsid w:val="008E19AA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C0A"/>
    <w:rsid w:val="008E6E9B"/>
    <w:rsid w:val="008E7131"/>
    <w:rsid w:val="008E75FC"/>
    <w:rsid w:val="008E790D"/>
    <w:rsid w:val="008F0433"/>
    <w:rsid w:val="008F0889"/>
    <w:rsid w:val="008F0C02"/>
    <w:rsid w:val="008F2CD7"/>
    <w:rsid w:val="008F37ED"/>
    <w:rsid w:val="008F4E28"/>
    <w:rsid w:val="008F52A3"/>
    <w:rsid w:val="008F5698"/>
    <w:rsid w:val="008F598A"/>
    <w:rsid w:val="008F5CF9"/>
    <w:rsid w:val="008F5D81"/>
    <w:rsid w:val="008F7445"/>
    <w:rsid w:val="0090037B"/>
    <w:rsid w:val="00900766"/>
    <w:rsid w:val="009014E6"/>
    <w:rsid w:val="009022C8"/>
    <w:rsid w:val="009028C7"/>
    <w:rsid w:val="00903017"/>
    <w:rsid w:val="009030A8"/>
    <w:rsid w:val="009045D9"/>
    <w:rsid w:val="00904A28"/>
    <w:rsid w:val="00905731"/>
    <w:rsid w:val="00906273"/>
    <w:rsid w:val="00906F57"/>
    <w:rsid w:val="00910A83"/>
    <w:rsid w:val="00911859"/>
    <w:rsid w:val="009120A0"/>
    <w:rsid w:val="00913049"/>
    <w:rsid w:val="0091328C"/>
    <w:rsid w:val="009134D0"/>
    <w:rsid w:val="009136EB"/>
    <w:rsid w:val="0091410C"/>
    <w:rsid w:val="0091559E"/>
    <w:rsid w:val="00915E9C"/>
    <w:rsid w:val="00916502"/>
    <w:rsid w:val="00916D23"/>
    <w:rsid w:val="00916D98"/>
    <w:rsid w:val="009171E9"/>
    <w:rsid w:val="00917A51"/>
    <w:rsid w:val="00920653"/>
    <w:rsid w:val="00920D37"/>
    <w:rsid w:val="0092148B"/>
    <w:rsid w:val="00921C72"/>
    <w:rsid w:val="0092223A"/>
    <w:rsid w:val="00922D68"/>
    <w:rsid w:val="00923C53"/>
    <w:rsid w:val="0092510D"/>
    <w:rsid w:val="009254F2"/>
    <w:rsid w:val="00926B00"/>
    <w:rsid w:val="00926D85"/>
    <w:rsid w:val="0092714D"/>
    <w:rsid w:val="00927523"/>
    <w:rsid w:val="009303B8"/>
    <w:rsid w:val="00930ACB"/>
    <w:rsid w:val="009312EB"/>
    <w:rsid w:val="009319E6"/>
    <w:rsid w:val="0093236C"/>
    <w:rsid w:val="00932B18"/>
    <w:rsid w:val="00932E05"/>
    <w:rsid w:val="00932FFB"/>
    <w:rsid w:val="009336D0"/>
    <w:rsid w:val="00933A2A"/>
    <w:rsid w:val="00936040"/>
    <w:rsid w:val="0093710E"/>
    <w:rsid w:val="00937CA2"/>
    <w:rsid w:val="00940EAF"/>
    <w:rsid w:val="0094168E"/>
    <w:rsid w:val="00941A10"/>
    <w:rsid w:val="00941D86"/>
    <w:rsid w:val="00941E85"/>
    <w:rsid w:val="00942234"/>
    <w:rsid w:val="00945C6C"/>
    <w:rsid w:val="00947BD7"/>
    <w:rsid w:val="00947C92"/>
    <w:rsid w:val="00950783"/>
    <w:rsid w:val="009511AD"/>
    <w:rsid w:val="00951ABF"/>
    <w:rsid w:val="00951EA6"/>
    <w:rsid w:val="009521B7"/>
    <w:rsid w:val="00952F0D"/>
    <w:rsid w:val="00953057"/>
    <w:rsid w:val="00953733"/>
    <w:rsid w:val="00953E5E"/>
    <w:rsid w:val="00954036"/>
    <w:rsid w:val="00954111"/>
    <w:rsid w:val="0095432E"/>
    <w:rsid w:val="00955A08"/>
    <w:rsid w:val="0095689A"/>
    <w:rsid w:val="009568AE"/>
    <w:rsid w:val="00956AA7"/>
    <w:rsid w:val="00957D20"/>
    <w:rsid w:val="009601E6"/>
    <w:rsid w:val="009603AF"/>
    <w:rsid w:val="00960F45"/>
    <w:rsid w:val="00961094"/>
    <w:rsid w:val="00961630"/>
    <w:rsid w:val="009629D6"/>
    <w:rsid w:val="00962E0E"/>
    <w:rsid w:val="009635D5"/>
    <w:rsid w:val="00964692"/>
    <w:rsid w:val="00964831"/>
    <w:rsid w:val="00964CD9"/>
    <w:rsid w:val="0096544B"/>
    <w:rsid w:val="00965896"/>
    <w:rsid w:val="00966AA0"/>
    <w:rsid w:val="00966C06"/>
    <w:rsid w:val="00967DB8"/>
    <w:rsid w:val="00967E93"/>
    <w:rsid w:val="00970C2A"/>
    <w:rsid w:val="009731CB"/>
    <w:rsid w:val="009736A2"/>
    <w:rsid w:val="0097632C"/>
    <w:rsid w:val="00976EDA"/>
    <w:rsid w:val="00977481"/>
    <w:rsid w:val="00980AAA"/>
    <w:rsid w:val="00980F37"/>
    <w:rsid w:val="00980FB2"/>
    <w:rsid w:val="00981E33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A1E12"/>
    <w:rsid w:val="009A2251"/>
    <w:rsid w:val="009A2D40"/>
    <w:rsid w:val="009A36F2"/>
    <w:rsid w:val="009A3F53"/>
    <w:rsid w:val="009A56A9"/>
    <w:rsid w:val="009A617C"/>
    <w:rsid w:val="009A63FC"/>
    <w:rsid w:val="009A6AEA"/>
    <w:rsid w:val="009A6C08"/>
    <w:rsid w:val="009A6C15"/>
    <w:rsid w:val="009A6F1C"/>
    <w:rsid w:val="009B29F5"/>
    <w:rsid w:val="009B2BEB"/>
    <w:rsid w:val="009B37A5"/>
    <w:rsid w:val="009B4B67"/>
    <w:rsid w:val="009B5575"/>
    <w:rsid w:val="009B5700"/>
    <w:rsid w:val="009B6300"/>
    <w:rsid w:val="009B6C9A"/>
    <w:rsid w:val="009B711E"/>
    <w:rsid w:val="009B7EA1"/>
    <w:rsid w:val="009C0E67"/>
    <w:rsid w:val="009C0EF6"/>
    <w:rsid w:val="009C1F8E"/>
    <w:rsid w:val="009C2832"/>
    <w:rsid w:val="009C3114"/>
    <w:rsid w:val="009C31DF"/>
    <w:rsid w:val="009C3773"/>
    <w:rsid w:val="009C3AC8"/>
    <w:rsid w:val="009C3E2D"/>
    <w:rsid w:val="009C51AE"/>
    <w:rsid w:val="009C545E"/>
    <w:rsid w:val="009C6171"/>
    <w:rsid w:val="009C73FF"/>
    <w:rsid w:val="009C7421"/>
    <w:rsid w:val="009C7C48"/>
    <w:rsid w:val="009D05E6"/>
    <w:rsid w:val="009D241F"/>
    <w:rsid w:val="009D2A98"/>
    <w:rsid w:val="009D4C0F"/>
    <w:rsid w:val="009D526D"/>
    <w:rsid w:val="009D60B6"/>
    <w:rsid w:val="009D6635"/>
    <w:rsid w:val="009D6FD5"/>
    <w:rsid w:val="009D7BF3"/>
    <w:rsid w:val="009E08C3"/>
    <w:rsid w:val="009E1135"/>
    <w:rsid w:val="009E2455"/>
    <w:rsid w:val="009E2995"/>
    <w:rsid w:val="009E2D8B"/>
    <w:rsid w:val="009E52C7"/>
    <w:rsid w:val="009E5D21"/>
    <w:rsid w:val="009E6FF8"/>
    <w:rsid w:val="009E75EC"/>
    <w:rsid w:val="009E7FEB"/>
    <w:rsid w:val="009F0CB7"/>
    <w:rsid w:val="009F2FF4"/>
    <w:rsid w:val="009F39EA"/>
    <w:rsid w:val="009F3BAF"/>
    <w:rsid w:val="009F3E12"/>
    <w:rsid w:val="009F4C9F"/>
    <w:rsid w:val="009F6AF8"/>
    <w:rsid w:val="009F6BD0"/>
    <w:rsid w:val="009F6FAB"/>
    <w:rsid w:val="00A00723"/>
    <w:rsid w:val="00A007C6"/>
    <w:rsid w:val="00A01B33"/>
    <w:rsid w:val="00A02ACD"/>
    <w:rsid w:val="00A02C04"/>
    <w:rsid w:val="00A06BDE"/>
    <w:rsid w:val="00A073BA"/>
    <w:rsid w:val="00A1017A"/>
    <w:rsid w:val="00A107EE"/>
    <w:rsid w:val="00A11131"/>
    <w:rsid w:val="00A1297E"/>
    <w:rsid w:val="00A13244"/>
    <w:rsid w:val="00A15C9E"/>
    <w:rsid w:val="00A20B10"/>
    <w:rsid w:val="00A21A61"/>
    <w:rsid w:val="00A21F8C"/>
    <w:rsid w:val="00A22970"/>
    <w:rsid w:val="00A22FCB"/>
    <w:rsid w:val="00A23295"/>
    <w:rsid w:val="00A254FD"/>
    <w:rsid w:val="00A2715E"/>
    <w:rsid w:val="00A27A48"/>
    <w:rsid w:val="00A30201"/>
    <w:rsid w:val="00A3038F"/>
    <w:rsid w:val="00A303A0"/>
    <w:rsid w:val="00A307BC"/>
    <w:rsid w:val="00A308DD"/>
    <w:rsid w:val="00A31127"/>
    <w:rsid w:val="00A329CF"/>
    <w:rsid w:val="00A32AE9"/>
    <w:rsid w:val="00A32F57"/>
    <w:rsid w:val="00A33CE7"/>
    <w:rsid w:val="00A33CF6"/>
    <w:rsid w:val="00A33FE5"/>
    <w:rsid w:val="00A35E98"/>
    <w:rsid w:val="00A4004A"/>
    <w:rsid w:val="00A404DF"/>
    <w:rsid w:val="00A40EFF"/>
    <w:rsid w:val="00A413C4"/>
    <w:rsid w:val="00A41510"/>
    <w:rsid w:val="00A41EFC"/>
    <w:rsid w:val="00A42678"/>
    <w:rsid w:val="00A42C41"/>
    <w:rsid w:val="00A43DE1"/>
    <w:rsid w:val="00A440F3"/>
    <w:rsid w:val="00A4540D"/>
    <w:rsid w:val="00A45FE9"/>
    <w:rsid w:val="00A46F5C"/>
    <w:rsid w:val="00A50273"/>
    <w:rsid w:val="00A50D9E"/>
    <w:rsid w:val="00A527A3"/>
    <w:rsid w:val="00A52911"/>
    <w:rsid w:val="00A53382"/>
    <w:rsid w:val="00A535B3"/>
    <w:rsid w:val="00A53DCE"/>
    <w:rsid w:val="00A55482"/>
    <w:rsid w:val="00A57C22"/>
    <w:rsid w:val="00A61824"/>
    <w:rsid w:val="00A619F3"/>
    <w:rsid w:val="00A61CBD"/>
    <w:rsid w:val="00A622CF"/>
    <w:rsid w:val="00A62A5E"/>
    <w:rsid w:val="00A62B1B"/>
    <w:rsid w:val="00A65631"/>
    <w:rsid w:val="00A65C83"/>
    <w:rsid w:val="00A66AFF"/>
    <w:rsid w:val="00A66E30"/>
    <w:rsid w:val="00A67AF2"/>
    <w:rsid w:val="00A70D53"/>
    <w:rsid w:val="00A7108E"/>
    <w:rsid w:val="00A72106"/>
    <w:rsid w:val="00A72F26"/>
    <w:rsid w:val="00A73C19"/>
    <w:rsid w:val="00A73E93"/>
    <w:rsid w:val="00A74088"/>
    <w:rsid w:val="00A74409"/>
    <w:rsid w:val="00A7468A"/>
    <w:rsid w:val="00A7685E"/>
    <w:rsid w:val="00A76973"/>
    <w:rsid w:val="00A771D3"/>
    <w:rsid w:val="00A77355"/>
    <w:rsid w:val="00A77750"/>
    <w:rsid w:val="00A77CC1"/>
    <w:rsid w:val="00A77D60"/>
    <w:rsid w:val="00A77E8C"/>
    <w:rsid w:val="00A80B6F"/>
    <w:rsid w:val="00A80D28"/>
    <w:rsid w:val="00A81DAA"/>
    <w:rsid w:val="00A82594"/>
    <w:rsid w:val="00A83DF3"/>
    <w:rsid w:val="00A84E88"/>
    <w:rsid w:val="00A85A03"/>
    <w:rsid w:val="00A870FE"/>
    <w:rsid w:val="00A92173"/>
    <w:rsid w:val="00A92442"/>
    <w:rsid w:val="00A92752"/>
    <w:rsid w:val="00A9280D"/>
    <w:rsid w:val="00A94CC3"/>
    <w:rsid w:val="00A94CFF"/>
    <w:rsid w:val="00A94E5B"/>
    <w:rsid w:val="00A95445"/>
    <w:rsid w:val="00A954C2"/>
    <w:rsid w:val="00A95A0B"/>
    <w:rsid w:val="00A95A71"/>
    <w:rsid w:val="00A95B12"/>
    <w:rsid w:val="00A977C6"/>
    <w:rsid w:val="00A979E9"/>
    <w:rsid w:val="00AA005B"/>
    <w:rsid w:val="00AA0BB4"/>
    <w:rsid w:val="00AA113F"/>
    <w:rsid w:val="00AA19DC"/>
    <w:rsid w:val="00AA1DCF"/>
    <w:rsid w:val="00AA235C"/>
    <w:rsid w:val="00AA2F62"/>
    <w:rsid w:val="00AA38BF"/>
    <w:rsid w:val="00AA62E2"/>
    <w:rsid w:val="00AA66E7"/>
    <w:rsid w:val="00AA7253"/>
    <w:rsid w:val="00AA74A5"/>
    <w:rsid w:val="00AA7CB5"/>
    <w:rsid w:val="00AA7EAE"/>
    <w:rsid w:val="00AB0442"/>
    <w:rsid w:val="00AB158E"/>
    <w:rsid w:val="00AB18F7"/>
    <w:rsid w:val="00AB1ED5"/>
    <w:rsid w:val="00AB208F"/>
    <w:rsid w:val="00AB2580"/>
    <w:rsid w:val="00AB5387"/>
    <w:rsid w:val="00AB5F3C"/>
    <w:rsid w:val="00AB5F7C"/>
    <w:rsid w:val="00AB7813"/>
    <w:rsid w:val="00AC0F05"/>
    <w:rsid w:val="00AC1880"/>
    <w:rsid w:val="00AC1E1C"/>
    <w:rsid w:val="00AC2B11"/>
    <w:rsid w:val="00AC3A98"/>
    <w:rsid w:val="00AC3B1C"/>
    <w:rsid w:val="00AC4952"/>
    <w:rsid w:val="00AC4B2E"/>
    <w:rsid w:val="00AC4E6D"/>
    <w:rsid w:val="00AC608D"/>
    <w:rsid w:val="00AC7399"/>
    <w:rsid w:val="00AC7693"/>
    <w:rsid w:val="00AD19CE"/>
    <w:rsid w:val="00AD1E9E"/>
    <w:rsid w:val="00AD41E4"/>
    <w:rsid w:val="00AD4284"/>
    <w:rsid w:val="00AD58FE"/>
    <w:rsid w:val="00AD5C53"/>
    <w:rsid w:val="00AD612D"/>
    <w:rsid w:val="00AD68DB"/>
    <w:rsid w:val="00AD7CD5"/>
    <w:rsid w:val="00AE07E9"/>
    <w:rsid w:val="00AE08CA"/>
    <w:rsid w:val="00AE3D8E"/>
    <w:rsid w:val="00AE4469"/>
    <w:rsid w:val="00AE4540"/>
    <w:rsid w:val="00AE5604"/>
    <w:rsid w:val="00AE569F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113D"/>
    <w:rsid w:val="00B01306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4DE"/>
    <w:rsid w:val="00B110D6"/>
    <w:rsid w:val="00B11211"/>
    <w:rsid w:val="00B12596"/>
    <w:rsid w:val="00B13479"/>
    <w:rsid w:val="00B15761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30B14"/>
    <w:rsid w:val="00B31395"/>
    <w:rsid w:val="00B31FCC"/>
    <w:rsid w:val="00B3364B"/>
    <w:rsid w:val="00B343B4"/>
    <w:rsid w:val="00B36952"/>
    <w:rsid w:val="00B3722F"/>
    <w:rsid w:val="00B37837"/>
    <w:rsid w:val="00B4051A"/>
    <w:rsid w:val="00B40D3B"/>
    <w:rsid w:val="00B40E50"/>
    <w:rsid w:val="00B412A4"/>
    <w:rsid w:val="00B416DF"/>
    <w:rsid w:val="00B41BEB"/>
    <w:rsid w:val="00B42A98"/>
    <w:rsid w:val="00B42D28"/>
    <w:rsid w:val="00B4367A"/>
    <w:rsid w:val="00B44EB5"/>
    <w:rsid w:val="00B45EF4"/>
    <w:rsid w:val="00B51EF6"/>
    <w:rsid w:val="00B52DE6"/>
    <w:rsid w:val="00B53237"/>
    <w:rsid w:val="00B53D46"/>
    <w:rsid w:val="00B53E71"/>
    <w:rsid w:val="00B53FC8"/>
    <w:rsid w:val="00B55E0A"/>
    <w:rsid w:val="00B561E0"/>
    <w:rsid w:val="00B566EE"/>
    <w:rsid w:val="00B57709"/>
    <w:rsid w:val="00B57CB2"/>
    <w:rsid w:val="00B607C1"/>
    <w:rsid w:val="00B61272"/>
    <w:rsid w:val="00B61676"/>
    <w:rsid w:val="00B61DB4"/>
    <w:rsid w:val="00B61E0A"/>
    <w:rsid w:val="00B627A4"/>
    <w:rsid w:val="00B62F91"/>
    <w:rsid w:val="00B631DA"/>
    <w:rsid w:val="00B63A6C"/>
    <w:rsid w:val="00B642F8"/>
    <w:rsid w:val="00B65197"/>
    <w:rsid w:val="00B65BB0"/>
    <w:rsid w:val="00B66A0B"/>
    <w:rsid w:val="00B6724E"/>
    <w:rsid w:val="00B6787C"/>
    <w:rsid w:val="00B709C9"/>
    <w:rsid w:val="00B729AC"/>
    <w:rsid w:val="00B73A9D"/>
    <w:rsid w:val="00B75742"/>
    <w:rsid w:val="00B75D2B"/>
    <w:rsid w:val="00B7611D"/>
    <w:rsid w:val="00B763C9"/>
    <w:rsid w:val="00B766F8"/>
    <w:rsid w:val="00B77122"/>
    <w:rsid w:val="00B772FF"/>
    <w:rsid w:val="00B77A93"/>
    <w:rsid w:val="00B81372"/>
    <w:rsid w:val="00B82221"/>
    <w:rsid w:val="00B8260B"/>
    <w:rsid w:val="00B82AC2"/>
    <w:rsid w:val="00B831C5"/>
    <w:rsid w:val="00B834BB"/>
    <w:rsid w:val="00B83C3B"/>
    <w:rsid w:val="00B84873"/>
    <w:rsid w:val="00B86969"/>
    <w:rsid w:val="00B86DD4"/>
    <w:rsid w:val="00B876E3"/>
    <w:rsid w:val="00B90968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933"/>
    <w:rsid w:val="00BA2BB8"/>
    <w:rsid w:val="00BA2D7A"/>
    <w:rsid w:val="00BA31E7"/>
    <w:rsid w:val="00BA3C6C"/>
    <w:rsid w:val="00BA3F59"/>
    <w:rsid w:val="00BA44F6"/>
    <w:rsid w:val="00BA55AC"/>
    <w:rsid w:val="00BA58E4"/>
    <w:rsid w:val="00BA5DF0"/>
    <w:rsid w:val="00BA6E90"/>
    <w:rsid w:val="00BA6FB9"/>
    <w:rsid w:val="00BA70E2"/>
    <w:rsid w:val="00BA711B"/>
    <w:rsid w:val="00BB1D4E"/>
    <w:rsid w:val="00BB3057"/>
    <w:rsid w:val="00BB3B5B"/>
    <w:rsid w:val="00BB427C"/>
    <w:rsid w:val="00BB45AB"/>
    <w:rsid w:val="00BB6F9A"/>
    <w:rsid w:val="00BB757F"/>
    <w:rsid w:val="00BC17E6"/>
    <w:rsid w:val="00BC4E7B"/>
    <w:rsid w:val="00BC6BDC"/>
    <w:rsid w:val="00BC6C68"/>
    <w:rsid w:val="00BC79FB"/>
    <w:rsid w:val="00BC7ACC"/>
    <w:rsid w:val="00BD1B32"/>
    <w:rsid w:val="00BD25BC"/>
    <w:rsid w:val="00BD3497"/>
    <w:rsid w:val="00BD4533"/>
    <w:rsid w:val="00BD5A34"/>
    <w:rsid w:val="00BD5AEB"/>
    <w:rsid w:val="00BD5B54"/>
    <w:rsid w:val="00BD740A"/>
    <w:rsid w:val="00BD7E5F"/>
    <w:rsid w:val="00BE0FF1"/>
    <w:rsid w:val="00BE1CC3"/>
    <w:rsid w:val="00BE268C"/>
    <w:rsid w:val="00BE32D6"/>
    <w:rsid w:val="00BE367F"/>
    <w:rsid w:val="00BE5488"/>
    <w:rsid w:val="00BE6877"/>
    <w:rsid w:val="00BE699E"/>
    <w:rsid w:val="00BE6EA6"/>
    <w:rsid w:val="00BE79F3"/>
    <w:rsid w:val="00BE7D2B"/>
    <w:rsid w:val="00BF104A"/>
    <w:rsid w:val="00BF1894"/>
    <w:rsid w:val="00BF1C70"/>
    <w:rsid w:val="00BF2E23"/>
    <w:rsid w:val="00BF54C7"/>
    <w:rsid w:val="00BF5610"/>
    <w:rsid w:val="00BF5745"/>
    <w:rsid w:val="00BF5CC8"/>
    <w:rsid w:val="00BF5E8D"/>
    <w:rsid w:val="00BF6DBE"/>
    <w:rsid w:val="00BF7D01"/>
    <w:rsid w:val="00C00B8D"/>
    <w:rsid w:val="00C010FA"/>
    <w:rsid w:val="00C01183"/>
    <w:rsid w:val="00C011AD"/>
    <w:rsid w:val="00C0145E"/>
    <w:rsid w:val="00C026CC"/>
    <w:rsid w:val="00C02DF7"/>
    <w:rsid w:val="00C041FC"/>
    <w:rsid w:val="00C04427"/>
    <w:rsid w:val="00C0447D"/>
    <w:rsid w:val="00C04C2A"/>
    <w:rsid w:val="00C05BB8"/>
    <w:rsid w:val="00C065C0"/>
    <w:rsid w:val="00C06F64"/>
    <w:rsid w:val="00C1030B"/>
    <w:rsid w:val="00C10B95"/>
    <w:rsid w:val="00C111A6"/>
    <w:rsid w:val="00C11512"/>
    <w:rsid w:val="00C119CD"/>
    <w:rsid w:val="00C11BBF"/>
    <w:rsid w:val="00C12CED"/>
    <w:rsid w:val="00C13648"/>
    <w:rsid w:val="00C138EC"/>
    <w:rsid w:val="00C139CE"/>
    <w:rsid w:val="00C14BD5"/>
    <w:rsid w:val="00C1557A"/>
    <w:rsid w:val="00C15D27"/>
    <w:rsid w:val="00C168D7"/>
    <w:rsid w:val="00C1726E"/>
    <w:rsid w:val="00C172CB"/>
    <w:rsid w:val="00C21F68"/>
    <w:rsid w:val="00C221C3"/>
    <w:rsid w:val="00C238A2"/>
    <w:rsid w:val="00C23CB7"/>
    <w:rsid w:val="00C25209"/>
    <w:rsid w:val="00C252BE"/>
    <w:rsid w:val="00C254DA"/>
    <w:rsid w:val="00C279A5"/>
    <w:rsid w:val="00C27E0E"/>
    <w:rsid w:val="00C3010C"/>
    <w:rsid w:val="00C309C5"/>
    <w:rsid w:val="00C310C6"/>
    <w:rsid w:val="00C315E8"/>
    <w:rsid w:val="00C32448"/>
    <w:rsid w:val="00C329B3"/>
    <w:rsid w:val="00C32A7D"/>
    <w:rsid w:val="00C32CB2"/>
    <w:rsid w:val="00C330F5"/>
    <w:rsid w:val="00C34279"/>
    <w:rsid w:val="00C34C75"/>
    <w:rsid w:val="00C42CE3"/>
    <w:rsid w:val="00C42D37"/>
    <w:rsid w:val="00C431D9"/>
    <w:rsid w:val="00C4393E"/>
    <w:rsid w:val="00C43CE8"/>
    <w:rsid w:val="00C43F4F"/>
    <w:rsid w:val="00C4520D"/>
    <w:rsid w:val="00C50B84"/>
    <w:rsid w:val="00C5108A"/>
    <w:rsid w:val="00C512A4"/>
    <w:rsid w:val="00C52411"/>
    <w:rsid w:val="00C5246A"/>
    <w:rsid w:val="00C52E63"/>
    <w:rsid w:val="00C53802"/>
    <w:rsid w:val="00C53D8A"/>
    <w:rsid w:val="00C54840"/>
    <w:rsid w:val="00C55AE5"/>
    <w:rsid w:val="00C56FFE"/>
    <w:rsid w:val="00C5702F"/>
    <w:rsid w:val="00C577B3"/>
    <w:rsid w:val="00C60E87"/>
    <w:rsid w:val="00C6137E"/>
    <w:rsid w:val="00C61C75"/>
    <w:rsid w:val="00C622A4"/>
    <w:rsid w:val="00C6406A"/>
    <w:rsid w:val="00C6620A"/>
    <w:rsid w:val="00C662D5"/>
    <w:rsid w:val="00C6710D"/>
    <w:rsid w:val="00C672B0"/>
    <w:rsid w:val="00C67EEC"/>
    <w:rsid w:val="00C70EBC"/>
    <w:rsid w:val="00C7126E"/>
    <w:rsid w:val="00C71B8D"/>
    <w:rsid w:val="00C728AB"/>
    <w:rsid w:val="00C735A0"/>
    <w:rsid w:val="00C743B7"/>
    <w:rsid w:val="00C74DAA"/>
    <w:rsid w:val="00C75DAB"/>
    <w:rsid w:val="00C76B49"/>
    <w:rsid w:val="00C803F1"/>
    <w:rsid w:val="00C8098E"/>
    <w:rsid w:val="00C81CEB"/>
    <w:rsid w:val="00C81ED3"/>
    <w:rsid w:val="00C82437"/>
    <w:rsid w:val="00C83E9D"/>
    <w:rsid w:val="00C84142"/>
    <w:rsid w:val="00C84176"/>
    <w:rsid w:val="00C84671"/>
    <w:rsid w:val="00C85631"/>
    <w:rsid w:val="00C85C2F"/>
    <w:rsid w:val="00C877E3"/>
    <w:rsid w:val="00C879A0"/>
    <w:rsid w:val="00C90947"/>
    <w:rsid w:val="00C91937"/>
    <w:rsid w:val="00C926E9"/>
    <w:rsid w:val="00C935EC"/>
    <w:rsid w:val="00C9475D"/>
    <w:rsid w:val="00C951B4"/>
    <w:rsid w:val="00C95E64"/>
    <w:rsid w:val="00C964B2"/>
    <w:rsid w:val="00C96AAD"/>
    <w:rsid w:val="00C974A6"/>
    <w:rsid w:val="00CA0ED8"/>
    <w:rsid w:val="00CA160E"/>
    <w:rsid w:val="00CA1989"/>
    <w:rsid w:val="00CA2848"/>
    <w:rsid w:val="00CA29AB"/>
    <w:rsid w:val="00CA2CB6"/>
    <w:rsid w:val="00CA3F25"/>
    <w:rsid w:val="00CA4670"/>
    <w:rsid w:val="00CA4D85"/>
    <w:rsid w:val="00CA53C4"/>
    <w:rsid w:val="00CA54B8"/>
    <w:rsid w:val="00CA556C"/>
    <w:rsid w:val="00CA60CC"/>
    <w:rsid w:val="00CB1AEE"/>
    <w:rsid w:val="00CB4601"/>
    <w:rsid w:val="00CB49EA"/>
    <w:rsid w:val="00CB4BC2"/>
    <w:rsid w:val="00CB4E5E"/>
    <w:rsid w:val="00CB5088"/>
    <w:rsid w:val="00CC1BC3"/>
    <w:rsid w:val="00CC1D8F"/>
    <w:rsid w:val="00CC25DD"/>
    <w:rsid w:val="00CC2E40"/>
    <w:rsid w:val="00CC3B2E"/>
    <w:rsid w:val="00CC3F61"/>
    <w:rsid w:val="00CC4682"/>
    <w:rsid w:val="00CC4B6C"/>
    <w:rsid w:val="00CC4CD3"/>
    <w:rsid w:val="00CC536B"/>
    <w:rsid w:val="00CC5B25"/>
    <w:rsid w:val="00CC65AA"/>
    <w:rsid w:val="00CC696F"/>
    <w:rsid w:val="00CC6D67"/>
    <w:rsid w:val="00CC7BD5"/>
    <w:rsid w:val="00CC7CD8"/>
    <w:rsid w:val="00CD09E6"/>
    <w:rsid w:val="00CD10D8"/>
    <w:rsid w:val="00CD17D9"/>
    <w:rsid w:val="00CD1A4C"/>
    <w:rsid w:val="00CD2422"/>
    <w:rsid w:val="00CD30CF"/>
    <w:rsid w:val="00CD3872"/>
    <w:rsid w:val="00CD41FB"/>
    <w:rsid w:val="00CD4BD5"/>
    <w:rsid w:val="00CD4D5D"/>
    <w:rsid w:val="00CD50AB"/>
    <w:rsid w:val="00CD5992"/>
    <w:rsid w:val="00CD62E2"/>
    <w:rsid w:val="00CD6348"/>
    <w:rsid w:val="00CD647B"/>
    <w:rsid w:val="00CD67BF"/>
    <w:rsid w:val="00CE080E"/>
    <w:rsid w:val="00CE0A2A"/>
    <w:rsid w:val="00CE2009"/>
    <w:rsid w:val="00CE276A"/>
    <w:rsid w:val="00CE2FAA"/>
    <w:rsid w:val="00CE30EB"/>
    <w:rsid w:val="00CE3903"/>
    <w:rsid w:val="00CE4071"/>
    <w:rsid w:val="00CE4533"/>
    <w:rsid w:val="00CE523C"/>
    <w:rsid w:val="00CE58A1"/>
    <w:rsid w:val="00CE6C4F"/>
    <w:rsid w:val="00CE7B8A"/>
    <w:rsid w:val="00CF0800"/>
    <w:rsid w:val="00CF0930"/>
    <w:rsid w:val="00CF0D1A"/>
    <w:rsid w:val="00CF112A"/>
    <w:rsid w:val="00CF21DA"/>
    <w:rsid w:val="00CF3E2E"/>
    <w:rsid w:val="00CF4A23"/>
    <w:rsid w:val="00CF578F"/>
    <w:rsid w:val="00CF6915"/>
    <w:rsid w:val="00CF6BBF"/>
    <w:rsid w:val="00CF6C3E"/>
    <w:rsid w:val="00CF6DB2"/>
    <w:rsid w:val="00CF6F45"/>
    <w:rsid w:val="00CF7C98"/>
    <w:rsid w:val="00D00903"/>
    <w:rsid w:val="00D0096F"/>
    <w:rsid w:val="00D00D57"/>
    <w:rsid w:val="00D00F2C"/>
    <w:rsid w:val="00D0143F"/>
    <w:rsid w:val="00D030E9"/>
    <w:rsid w:val="00D03B68"/>
    <w:rsid w:val="00D048C7"/>
    <w:rsid w:val="00D06C63"/>
    <w:rsid w:val="00D07898"/>
    <w:rsid w:val="00D106EA"/>
    <w:rsid w:val="00D10B06"/>
    <w:rsid w:val="00D111E1"/>
    <w:rsid w:val="00D1139E"/>
    <w:rsid w:val="00D113BA"/>
    <w:rsid w:val="00D11A61"/>
    <w:rsid w:val="00D11BE3"/>
    <w:rsid w:val="00D12AD2"/>
    <w:rsid w:val="00D12FD2"/>
    <w:rsid w:val="00D1361A"/>
    <w:rsid w:val="00D15621"/>
    <w:rsid w:val="00D15B29"/>
    <w:rsid w:val="00D163E8"/>
    <w:rsid w:val="00D166A5"/>
    <w:rsid w:val="00D17355"/>
    <w:rsid w:val="00D17E07"/>
    <w:rsid w:val="00D20731"/>
    <w:rsid w:val="00D2129C"/>
    <w:rsid w:val="00D21357"/>
    <w:rsid w:val="00D2155B"/>
    <w:rsid w:val="00D21797"/>
    <w:rsid w:val="00D23ADE"/>
    <w:rsid w:val="00D24CE2"/>
    <w:rsid w:val="00D24F4B"/>
    <w:rsid w:val="00D253B8"/>
    <w:rsid w:val="00D25ABF"/>
    <w:rsid w:val="00D265AC"/>
    <w:rsid w:val="00D26915"/>
    <w:rsid w:val="00D2739F"/>
    <w:rsid w:val="00D27ECE"/>
    <w:rsid w:val="00D301BB"/>
    <w:rsid w:val="00D3118D"/>
    <w:rsid w:val="00D31566"/>
    <w:rsid w:val="00D31AD5"/>
    <w:rsid w:val="00D31D4A"/>
    <w:rsid w:val="00D323D8"/>
    <w:rsid w:val="00D327BD"/>
    <w:rsid w:val="00D33339"/>
    <w:rsid w:val="00D3469A"/>
    <w:rsid w:val="00D363CA"/>
    <w:rsid w:val="00D36FFC"/>
    <w:rsid w:val="00D371F7"/>
    <w:rsid w:val="00D37AB7"/>
    <w:rsid w:val="00D4052B"/>
    <w:rsid w:val="00D40808"/>
    <w:rsid w:val="00D40F97"/>
    <w:rsid w:val="00D4151E"/>
    <w:rsid w:val="00D417F8"/>
    <w:rsid w:val="00D418CB"/>
    <w:rsid w:val="00D41EC1"/>
    <w:rsid w:val="00D4282A"/>
    <w:rsid w:val="00D42EED"/>
    <w:rsid w:val="00D43FA4"/>
    <w:rsid w:val="00D43FFD"/>
    <w:rsid w:val="00D441A7"/>
    <w:rsid w:val="00D44A5D"/>
    <w:rsid w:val="00D44BD6"/>
    <w:rsid w:val="00D459CB"/>
    <w:rsid w:val="00D461B4"/>
    <w:rsid w:val="00D4631C"/>
    <w:rsid w:val="00D4635D"/>
    <w:rsid w:val="00D46727"/>
    <w:rsid w:val="00D46B77"/>
    <w:rsid w:val="00D52BC4"/>
    <w:rsid w:val="00D52BFF"/>
    <w:rsid w:val="00D53DE2"/>
    <w:rsid w:val="00D55279"/>
    <w:rsid w:val="00D55786"/>
    <w:rsid w:val="00D56786"/>
    <w:rsid w:val="00D5707A"/>
    <w:rsid w:val="00D600B1"/>
    <w:rsid w:val="00D60241"/>
    <w:rsid w:val="00D60957"/>
    <w:rsid w:val="00D61147"/>
    <w:rsid w:val="00D613EE"/>
    <w:rsid w:val="00D61967"/>
    <w:rsid w:val="00D628B3"/>
    <w:rsid w:val="00D636DE"/>
    <w:rsid w:val="00D63EA9"/>
    <w:rsid w:val="00D64B8B"/>
    <w:rsid w:val="00D654AE"/>
    <w:rsid w:val="00D65643"/>
    <w:rsid w:val="00D65D90"/>
    <w:rsid w:val="00D65EF4"/>
    <w:rsid w:val="00D665E8"/>
    <w:rsid w:val="00D66B40"/>
    <w:rsid w:val="00D6778E"/>
    <w:rsid w:val="00D67A05"/>
    <w:rsid w:val="00D71C72"/>
    <w:rsid w:val="00D73BE9"/>
    <w:rsid w:val="00D7484C"/>
    <w:rsid w:val="00D74CE3"/>
    <w:rsid w:val="00D74D5D"/>
    <w:rsid w:val="00D75058"/>
    <w:rsid w:val="00D7520C"/>
    <w:rsid w:val="00D7585C"/>
    <w:rsid w:val="00D77060"/>
    <w:rsid w:val="00D77CA6"/>
    <w:rsid w:val="00D8028B"/>
    <w:rsid w:val="00D80D39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90476"/>
    <w:rsid w:val="00D90ED2"/>
    <w:rsid w:val="00D912E8"/>
    <w:rsid w:val="00D913EB"/>
    <w:rsid w:val="00D9158F"/>
    <w:rsid w:val="00D925DC"/>
    <w:rsid w:val="00D92695"/>
    <w:rsid w:val="00D92ACA"/>
    <w:rsid w:val="00D92FEC"/>
    <w:rsid w:val="00D96CD5"/>
    <w:rsid w:val="00DA00D4"/>
    <w:rsid w:val="00DA0CA6"/>
    <w:rsid w:val="00DA29D1"/>
    <w:rsid w:val="00DA2A78"/>
    <w:rsid w:val="00DA30BB"/>
    <w:rsid w:val="00DA352F"/>
    <w:rsid w:val="00DA3550"/>
    <w:rsid w:val="00DA47E1"/>
    <w:rsid w:val="00DA4C4A"/>
    <w:rsid w:val="00DA4D9C"/>
    <w:rsid w:val="00DA4FCE"/>
    <w:rsid w:val="00DA56E8"/>
    <w:rsid w:val="00DA59CB"/>
    <w:rsid w:val="00DA7278"/>
    <w:rsid w:val="00DA7AAD"/>
    <w:rsid w:val="00DB039C"/>
    <w:rsid w:val="00DB0442"/>
    <w:rsid w:val="00DB3275"/>
    <w:rsid w:val="00DB4D1C"/>
    <w:rsid w:val="00DB65AA"/>
    <w:rsid w:val="00DB79ED"/>
    <w:rsid w:val="00DC0136"/>
    <w:rsid w:val="00DC136A"/>
    <w:rsid w:val="00DC317E"/>
    <w:rsid w:val="00DC4300"/>
    <w:rsid w:val="00DC4898"/>
    <w:rsid w:val="00DC4902"/>
    <w:rsid w:val="00DC5096"/>
    <w:rsid w:val="00DC5343"/>
    <w:rsid w:val="00DC6339"/>
    <w:rsid w:val="00DC6CAA"/>
    <w:rsid w:val="00DC70DB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44DD"/>
    <w:rsid w:val="00DD4809"/>
    <w:rsid w:val="00DD5006"/>
    <w:rsid w:val="00DD50F9"/>
    <w:rsid w:val="00DD6259"/>
    <w:rsid w:val="00DD6A9C"/>
    <w:rsid w:val="00DD7F34"/>
    <w:rsid w:val="00DD7F87"/>
    <w:rsid w:val="00DE0954"/>
    <w:rsid w:val="00DE0C08"/>
    <w:rsid w:val="00DE0C96"/>
    <w:rsid w:val="00DE2C4E"/>
    <w:rsid w:val="00DE44DE"/>
    <w:rsid w:val="00DE4926"/>
    <w:rsid w:val="00DE4E83"/>
    <w:rsid w:val="00DE5072"/>
    <w:rsid w:val="00DE51DE"/>
    <w:rsid w:val="00DE57CF"/>
    <w:rsid w:val="00DE5FE1"/>
    <w:rsid w:val="00DE6596"/>
    <w:rsid w:val="00DE6F2A"/>
    <w:rsid w:val="00DE6FB7"/>
    <w:rsid w:val="00DE7EBE"/>
    <w:rsid w:val="00DF06F3"/>
    <w:rsid w:val="00DF0D1B"/>
    <w:rsid w:val="00DF0F00"/>
    <w:rsid w:val="00DF1987"/>
    <w:rsid w:val="00DF25F9"/>
    <w:rsid w:val="00DF29F2"/>
    <w:rsid w:val="00DF3A22"/>
    <w:rsid w:val="00DF41E1"/>
    <w:rsid w:val="00DF4442"/>
    <w:rsid w:val="00DF48E7"/>
    <w:rsid w:val="00DF49DA"/>
    <w:rsid w:val="00DF6B60"/>
    <w:rsid w:val="00E008F0"/>
    <w:rsid w:val="00E013CC"/>
    <w:rsid w:val="00E016FD"/>
    <w:rsid w:val="00E04850"/>
    <w:rsid w:val="00E05745"/>
    <w:rsid w:val="00E066C8"/>
    <w:rsid w:val="00E06815"/>
    <w:rsid w:val="00E06BD3"/>
    <w:rsid w:val="00E06D0F"/>
    <w:rsid w:val="00E07D70"/>
    <w:rsid w:val="00E1291C"/>
    <w:rsid w:val="00E13510"/>
    <w:rsid w:val="00E13B0E"/>
    <w:rsid w:val="00E16ED0"/>
    <w:rsid w:val="00E17002"/>
    <w:rsid w:val="00E170ED"/>
    <w:rsid w:val="00E17DEE"/>
    <w:rsid w:val="00E20D3B"/>
    <w:rsid w:val="00E20DD4"/>
    <w:rsid w:val="00E21330"/>
    <w:rsid w:val="00E23227"/>
    <w:rsid w:val="00E245F3"/>
    <w:rsid w:val="00E30B8C"/>
    <w:rsid w:val="00E31417"/>
    <w:rsid w:val="00E336FF"/>
    <w:rsid w:val="00E37044"/>
    <w:rsid w:val="00E37DA8"/>
    <w:rsid w:val="00E417B9"/>
    <w:rsid w:val="00E419E5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8B7"/>
    <w:rsid w:val="00E508C0"/>
    <w:rsid w:val="00E5229C"/>
    <w:rsid w:val="00E52521"/>
    <w:rsid w:val="00E53441"/>
    <w:rsid w:val="00E53903"/>
    <w:rsid w:val="00E54472"/>
    <w:rsid w:val="00E54526"/>
    <w:rsid w:val="00E55520"/>
    <w:rsid w:val="00E555BA"/>
    <w:rsid w:val="00E55D7B"/>
    <w:rsid w:val="00E55F42"/>
    <w:rsid w:val="00E56040"/>
    <w:rsid w:val="00E60252"/>
    <w:rsid w:val="00E60958"/>
    <w:rsid w:val="00E61570"/>
    <w:rsid w:val="00E62834"/>
    <w:rsid w:val="00E62F06"/>
    <w:rsid w:val="00E63C91"/>
    <w:rsid w:val="00E64581"/>
    <w:rsid w:val="00E6460C"/>
    <w:rsid w:val="00E671D5"/>
    <w:rsid w:val="00E672F0"/>
    <w:rsid w:val="00E67A7E"/>
    <w:rsid w:val="00E67F67"/>
    <w:rsid w:val="00E709A2"/>
    <w:rsid w:val="00E70FEC"/>
    <w:rsid w:val="00E72BB5"/>
    <w:rsid w:val="00E72EB8"/>
    <w:rsid w:val="00E73A2E"/>
    <w:rsid w:val="00E742C0"/>
    <w:rsid w:val="00E750D3"/>
    <w:rsid w:val="00E76A5C"/>
    <w:rsid w:val="00E77063"/>
    <w:rsid w:val="00E77411"/>
    <w:rsid w:val="00E80DEC"/>
    <w:rsid w:val="00E82FE6"/>
    <w:rsid w:val="00E83351"/>
    <w:rsid w:val="00E838E8"/>
    <w:rsid w:val="00E841C0"/>
    <w:rsid w:val="00E85266"/>
    <w:rsid w:val="00E85584"/>
    <w:rsid w:val="00E86518"/>
    <w:rsid w:val="00E86CE3"/>
    <w:rsid w:val="00E87213"/>
    <w:rsid w:val="00E87296"/>
    <w:rsid w:val="00E8743E"/>
    <w:rsid w:val="00E91DFD"/>
    <w:rsid w:val="00E9277B"/>
    <w:rsid w:val="00E92C4B"/>
    <w:rsid w:val="00E92D01"/>
    <w:rsid w:val="00E93277"/>
    <w:rsid w:val="00E9424F"/>
    <w:rsid w:val="00E9452C"/>
    <w:rsid w:val="00E94566"/>
    <w:rsid w:val="00E954E9"/>
    <w:rsid w:val="00E970C8"/>
    <w:rsid w:val="00E979A3"/>
    <w:rsid w:val="00E97A68"/>
    <w:rsid w:val="00EA1ADB"/>
    <w:rsid w:val="00EA1DD0"/>
    <w:rsid w:val="00EA2129"/>
    <w:rsid w:val="00EA2494"/>
    <w:rsid w:val="00EA2A5E"/>
    <w:rsid w:val="00EA35DF"/>
    <w:rsid w:val="00EA3966"/>
    <w:rsid w:val="00EA4767"/>
    <w:rsid w:val="00EA490B"/>
    <w:rsid w:val="00EA4C3B"/>
    <w:rsid w:val="00EA5468"/>
    <w:rsid w:val="00EA5927"/>
    <w:rsid w:val="00EA5A3D"/>
    <w:rsid w:val="00EA61D6"/>
    <w:rsid w:val="00EA6788"/>
    <w:rsid w:val="00EA70DC"/>
    <w:rsid w:val="00EB012C"/>
    <w:rsid w:val="00EB1E5E"/>
    <w:rsid w:val="00EB215F"/>
    <w:rsid w:val="00EB33E5"/>
    <w:rsid w:val="00EB39F5"/>
    <w:rsid w:val="00EB428A"/>
    <w:rsid w:val="00EB4331"/>
    <w:rsid w:val="00EB4D6B"/>
    <w:rsid w:val="00EB4FCB"/>
    <w:rsid w:val="00EB61A1"/>
    <w:rsid w:val="00EB7281"/>
    <w:rsid w:val="00EB7952"/>
    <w:rsid w:val="00EC0515"/>
    <w:rsid w:val="00EC0964"/>
    <w:rsid w:val="00EC0D05"/>
    <w:rsid w:val="00EC0E96"/>
    <w:rsid w:val="00EC29BC"/>
    <w:rsid w:val="00EC3CE4"/>
    <w:rsid w:val="00EC62FC"/>
    <w:rsid w:val="00EC6D4C"/>
    <w:rsid w:val="00EC7590"/>
    <w:rsid w:val="00ED0BC0"/>
    <w:rsid w:val="00ED0D84"/>
    <w:rsid w:val="00ED13AD"/>
    <w:rsid w:val="00ED1BA6"/>
    <w:rsid w:val="00ED2735"/>
    <w:rsid w:val="00ED2975"/>
    <w:rsid w:val="00ED2CE0"/>
    <w:rsid w:val="00ED3016"/>
    <w:rsid w:val="00ED4543"/>
    <w:rsid w:val="00ED47E1"/>
    <w:rsid w:val="00ED4D40"/>
    <w:rsid w:val="00ED50CC"/>
    <w:rsid w:val="00ED5216"/>
    <w:rsid w:val="00ED6DD5"/>
    <w:rsid w:val="00EE006A"/>
    <w:rsid w:val="00EE03EE"/>
    <w:rsid w:val="00EE0608"/>
    <w:rsid w:val="00EE0BF7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8BE"/>
    <w:rsid w:val="00EE502A"/>
    <w:rsid w:val="00EE5D8E"/>
    <w:rsid w:val="00EE5F87"/>
    <w:rsid w:val="00EE72BB"/>
    <w:rsid w:val="00EE7556"/>
    <w:rsid w:val="00EE7DE6"/>
    <w:rsid w:val="00EF079A"/>
    <w:rsid w:val="00EF0FB8"/>
    <w:rsid w:val="00EF1FD8"/>
    <w:rsid w:val="00EF22E1"/>
    <w:rsid w:val="00EF259B"/>
    <w:rsid w:val="00EF336F"/>
    <w:rsid w:val="00EF3687"/>
    <w:rsid w:val="00EF3B9C"/>
    <w:rsid w:val="00EF3C26"/>
    <w:rsid w:val="00EF3E22"/>
    <w:rsid w:val="00EF408B"/>
    <w:rsid w:val="00EF4107"/>
    <w:rsid w:val="00EF43B6"/>
    <w:rsid w:val="00EF449A"/>
    <w:rsid w:val="00EF5F34"/>
    <w:rsid w:val="00EF6A15"/>
    <w:rsid w:val="00EF7234"/>
    <w:rsid w:val="00F00B39"/>
    <w:rsid w:val="00F010C6"/>
    <w:rsid w:val="00F01384"/>
    <w:rsid w:val="00F017FC"/>
    <w:rsid w:val="00F02C47"/>
    <w:rsid w:val="00F02CE4"/>
    <w:rsid w:val="00F0496B"/>
    <w:rsid w:val="00F05456"/>
    <w:rsid w:val="00F056D9"/>
    <w:rsid w:val="00F07D99"/>
    <w:rsid w:val="00F10855"/>
    <w:rsid w:val="00F121B8"/>
    <w:rsid w:val="00F12C42"/>
    <w:rsid w:val="00F16734"/>
    <w:rsid w:val="00F20005"/>
    <w:rsid w:val="00F20820"/>
    <w:rsid w:val="00F21185"/>
    <w:rsid w:val="00F21A17"/>
    <w:rsid w:val="00F21C1C"/>
    <w:rsid w:val="00F23C57"/>
    <w:rsid w:val="00F23CBE"/>
    <w:rsid w:val="00F244D7"/>
    <w:rsid w:val="00F246A9"/>
    <w:rsid w:val="00F2474F"/>
    <w:rsid w:val="00F24FCD"/>
    <w:rsid w:val="00F257B5"/>
    <w:rsid w:val="00F25934"/>
    <w:rsid w:val="00F25BC9"/>
    <w:rsid w:val="00F2629C"/>
    <w:rsid w:val="00F2697E"/>
    <w:rsid w:val="00F2742B"/>
    <w:rsid w:val="00F27E03"/>
    <w:rsid w:val="00F30019"/>
    <w:rsid w:val="00F308C0"/>
    <w:rsid w:val="00F30925"/>
    <w:rsid w:val="00F30C44"/>
    <w:rsid w:val="00F30F21"/>
    <w:rsid w:val="00F31060"/>
    <w:rsid w:val="00F318E1"/>
    <w:rsid w:val="00F31DD2"/>
    <w:rsid w:val="00F3240F"/>
    <w:rsid w:val="00F33D23"/>
    <w:rsid w:val="00F34AEA"/>
    <w:rsid w:val="00F34BD7"/>
    <w:rsid w:val="00F34CEA"/>
    <w:rsid w:val="00F34DF4"/>
    <w:rsid w:val="00F37397"/>
    <w:rsid w:val="00F377AB"/>
    <w:rsid w:val="00F402BF"/>
    <w:rsid w:val="00F4122B"/>
    <w:rsid w:val="00F419C6"/>
    <w:rsid w:val="00F41AC6"/>
    <w:rsid w:val="00F42A11"/>
    <w:rsid w:val="00F42A49"/>
    <w:rsid w:val="00F44A9D"/>
    <w:rsid w:val="00F44B2A"/>
    <w:rsid w:val="00F45112"/>
    <w:rsid w:val="00F458FB"/>
    <w:rsid w:val="00F461A4"/>
    <w:rsid w:val="00F463CF"/>
    <w:rsid w:val="00F46862"/>
    <w:rsid w:val="00F46B33"/>
    <w:rsid w:val="00F51475"/>
    <w:rsid w:val="00F51532"/>
    <w:rsid w:val="00F51576"/>
    <w:rsid w:val="00F51E87"/>
    <w:rsid w:val="00F51EC9"/>
    <w:rsid w:val="00F52202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60C30"/>
    <w:rsid w:val="00F60F21"/>
    <w:rsid w:val="00F60F3C"/>
    <w:rsid w:val="00F61352"/>
    <w:rsid w:val="00F61AA6"/>
    <w:rsid w:val="00F62210"/>
    <w:rsid w:val="00F622ED"/>
    <w:rsid w:val="00F623E9"/>
    <w:rsid w:val="00F6361A"/>
    <w:rsid w:val="00F639F8"/>
    <w:rsid w:val="00F63B07"/>
    <w:rsid w:val="00F64B4D"/>
    <w:rsid w:val="00F6556E"/>
    <w:rsid w:val="00F65884"/>
    <w:rsid w:val="00F65D32"/>
    <w:rsid w:val="00F6602A"/>
    <w:rsid w:val="00F66AC4"/>
    <w:rsid w:val="00F66DF2"/>
    <w:rsid w:val="00F6748D"/>
    <w:rsid w:val="00F70529"/>
    <w:rsid w:val="00F71445"/>
    <w:rsid w:val="00F71763"/>
    <w:rsid w:val="00F71FAE"/>
    <w:rsid w:val="00F72FF1"/>
    <w:rsid w:val="00F7345A"/>
    <w:rsid w:val="00F76347"/>
    <w:rsid w:val="00F76980"/>
    <w:rsid w:val="00F76ED2"/>
    <w:rsid w:val="00F77FD7"/>
    <w:rsid w:val="00F81155"/>
    <w:rsid w:val="00F82356"/>
    <w:rsid w:val="00F82B11"/>
    <w:rsid w:val="00F82F38"/>
    <w:rsid w:val="00F83165"/>
    <w:rsid w:val="00F83EF5"/>
    <w:rsid w:val="00F83F0A"/>
    <w:rsid w:val="00F84439"/>
    <w:rsid w:val="00F85CA7"/>
    <w:rsid w:val="00F85EC3"/>
    <w:rsid w:val="00F86327"/>
    <w:rsid w:val="00F86A28"/>
    <w:rsid w:val="00F86A5B"/>
    <w:rsid w:val="00F86F0D"/>
    <w:rsid w:val="00F90CA7"/>
    <w:rsid w:val="00F9172A"/>
    <w:rsid w:val="00F9183E"/>
    <w:rsid w:val="00F92B5A"/>
    <w:rsid w:val="00F92B81"/>
    <w:rsid w:val="00F92D14"/>
    <w:rsid w:val="00F92FE1"/>
    <w:rsid w:val="00F93479"/>
    <w:rsid w:val="00F93BEE"/>
    <w:rsid w:val="00F94BEB"/>
    <w:rsid w:val="00F9596C"/>
    <w:rsid w:val="00F95FEE"/>
    <w:rsid w:val="00F96C1E"/>
    <w:rsid w:val="00F96D07"/>
    <w:rsid w:val="00F96D7B"/>
    <w:rsid w:val="00FA0174"/>
    <w:rsid w:val="00FA18F1"/>
    <w:rsid w:val="00FA2046"/>
    <w:rsid w:val="00FA3241"/>
    <w:rsid w:val="00FA3829"/>
    <w:rsid w:val="00FA52BA"/>
    <w:rsid w:val="00FA577D"/>
    <w:rsid w:val="00FA58D7"/>
    <w:rsid w:val="00FA612A"/>
    <w:rsid w:val="00FA6774"/>
    <w:rsid w:val="00FA6D42"/>
    <w:rsid w:val="00FA6EBA"/>
    <w:rsid w:val="00FA77D9"/>
    <w:rsid w:val="00FA797E"/>
    <w:rsid w:val="00FB02E2"/>
    <w:rsid w:val="00FB11EC"/>
    <w:rsid w:val="00FB13E4"/>
    <w:rsid w:val="00FB19BB"/>
    <w:rsid w:val="00FB3A6F"/>
    <w:rsid w:val="00FB3ECD"/>
    <w:rsid w:val="00FB5543"/>
    <w:rsid w:val="00FB6B5C"/>
    <w:rsid w:val="00FB7E27"/>
    <w:rsid w:val="00FC0AD0"/>
    <w:rsid w:val="00FC0E16"/>
    <w:rsid w:val="00FC0F91"/>
    <w:rsid w:val="00FC118D"/>
    <w:rsid w:val="00FC1CA0"/>
    <w:rsid w:val="00FC37C3"/>
    <w:rsid w:val="00FC3D2B"/>
    <w:rsid w:val="00FC4BBE"/>
    <w:rsid w:val="00FC4BC8"/>
    <w:rsid w:val="00FC4D2D"/>
    <w:rsid w:val="00FC4FD8"/>
    <w:rsid w:val="00FC58E7"/>
    <w:rsid w:val="00FC5C2B"/>
    <w:rsid w:val="00FC5EA2"/>
    <w:rsid w:val="00FC7AD0"/>
    <w:rsid w:val="00FC7E8E"/>
    <w:rsid w:val="00FD04A5"/>
    <w:rsid w:val="00FD04C7"/>
    <w:rsid w:val="00FD077F"/>
    <w:rsid w:val="00FD0DF2"/>
    <w:rsid w:val="00FD1675"/>
    <w:rsid w:val="00FD1C7B"/>
    <w:rsid w:val="00FD3086"/>
    <w:rsid w:val="00FD40DF"/>
    <w:rsid w:val="00FD6343"/>
    <w:rsid w:val="00FD6AA1"/>
    <w:rsid w:val="00FD7539"/>
    <w:rsid w:val="00FD7B68"/>
    <w:rsid w:val="00FE0760"/>
    <w:rsid w:val="00FE2967"/>
    <w:rsid w:val="00FE2DA0"/>
    <w:rsid w:val="00FE3184"/>
    <w:rsid w:val="00FE3B43"/>
    <w:rsid w:val="00FE6B07"/>
    <w:rsid w:val="00FE6B97"/>
    <w:rsid w:val="00FE7289"/>
    <w:rsid w:val="00FF0924"/>
    <w:rsid w:val="00FF0E46"/>
    <w:rsid w:val="00FF0FCE"/>
    <w:rsid w:val="00FF1628"/>
    <w:rsid w:val="00FF1CA2"/>
    <w:rsid w:val="00FF20C7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5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8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38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2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9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hd1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91C0-2542-402E-B891-89CB5675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16810</TotalTime>
  <Pages>36</Pages>
  <Words>12533</Words>
  <Characters>71442</Characters>
  <Application>Microsoft Office Word</Application>
  <DocSecurity>0</DocSecurity>
  <Lines>595</Lines>
  <Paragraphs>167</Paragraphs>
  <ScaleCrop>false</ScaleCrop>
  <Company/>
  <LinksUpToDate>false</LinksUpToDate>
  <CharactersWithSpaces>83808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2005</cp:revision>
  <dcterms:created xsi:type="dcterms:W3CDTF">2024-04-01T04:18:00Z</dcterms:created>
  <dcterms:modified xsi:type="dcterms:W3CDTF">2025-07-08T01:11:00Z</dcterms:modified>
</cp:coreProperties>
</file>