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4F3E69">
        <w:rPr>
          <w:rFonts w:ascii="宋体" w:eastAsia="宋体" w:hAnsi="宋体" w:cs="宋体"/>
          <w:b/>
          <w:color w:val="000000"/>
          <w:sz w:val="28"/>
          <w:szCs w:val="28"/>
        </w:rPr>
        <w:t>2</w:t>
      </w:r>
      <w:r w:rsidR="006B4E7B">
        <w:rPr>
          <w:rFonts w:ascii="宋体" w:eastAsia="宋体" w:hAnsi="宋体" w:cs="宋体"/>
          <w:b/>
          <w:color w:val="000000"/>
          <w:sz w:val="28"/>
          <w:szCs w:val="28"/>
        </w:rPr>
        <w:t>7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9E256A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9E256A">
        <w:rPr>
          <w:rFonts w:ascii="宋体" w:eastAsia="宋体" w:hAnsi="宋体" w:cs="宋体"/>
          <w:b/>
          <w:color w:val="000000"/>
          <w:sz w:val="28"/>
          <w:szCs w:val="28"/>
        </w:rPr>
        <w:t>35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F308D">
        <w:rPr>
          <w:rFonts w:ascii="宋体" w:eastAsia="宋体" w:hAnsi="宋体" w:cs="宋体"/>
          <w:b/>
          <w:color w:val="FF0000"/>
          <w:szCs w:val="24"/>
        </w:rPr>
        <w:t>6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6B4E7B">
        <w:rPr>
          <w:rFonts w:ascii="宋体" w:eastAsia="宋体" w:hAnsi="宋体" w:cs="宋体"/>
          <w:b/>
          <w:color w:val="FF0000"/>
          <w:szCs w:val="24"/>
        </w:rPr>
        <w:t>30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6B4E7B">
        <w:rPr>
          <w:rFonts w:ascii="宋体" w:eastAsia="宋体" w:hAnsi="宋体" w:cs="宋体"/>
          <w:b/>
          <w:color w:val="FF0000"/>
          <w:szCs w:val="24"/>
        </w:rPr>
        <w:t>7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6B4E7B">
        <w:rPr>
          <w:rFonts w:ascii="宋体" w:eastAsia="宋体" w:hAnsi="宋体" w:cs="宋体"/>
          <w:b/>
          <w:color w:val="FF0000"/>
          <w:szCs w:val="24"/>
        </w:rPr>
        <w:t>6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EA7B5C" w:rsidRPr="00ED6E2D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 xml:space="preserve">. Infect Disord Drug Targets. 2025 Jul 3. doi: </w:t>
      </w:r>
    </w:p>
    <w:p w:rsidR="00EA7B5C" w:rsidRPr="00ED6E2D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ED6E2D">
        <w:rPr>
          <w:rFonts w:ascii="宋体" w:eastAsia="宋体" w:hAnsi="宋体" w:cs="宋体"/>
          <w:b/>
          <w:color w:val="FF0000"/>
          <w:szCs w:val="24"/>
        </w:rPr>
        <w:t>10.2174/0118715265361578250504110100. 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Flavonoids: Potential Novel Inhibitors of Mycobacterium tuberculosis.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Kisimba K(1), Kasumbwe K(2), Odun-Ayo F(3), Faya M(1).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Sciences, University of Kwazulu-Natal, Private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Bag X54001, Durban 4000,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Biotechnology and Food Sciences. Durban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Technology,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Biotechnology and Consumer Sciences, Cape Peninsula University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of Technology, Cape Town 7530,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(TB) is a major global health concern and a leading cause of death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world-wide. The emergence of drug-resistant TB strains poses a significant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threat to public health and is contributing to the growing rate of TB infections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globally. Therefore, it is crucial to explore new and safe drugs for 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treatment. Despite significant progress in developing new drugs, many ex-isting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treatments and prevention strategies for TB do not achieve the desired positive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health out-comes for various reasons. Small-molecule treatments can potentially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address drug resistance and provide opportunities for multimodal therapy.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review focuses on recent advancements in un-derstanding the pathogenesis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 and the mechanisms of flavonoids in antimycobacterial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properties. Given the urgent need for new antimycobacterial agents to enhance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effectiveness of current drugs, investigating flavonoids as potential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candidates is promising. Evidence suggests that specific structural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characteristics in flavonoids play a significant role in their antimycobacterial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effects, among other pharmacological activities. Flavonoids can act through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various mechanisms, such as disrupting bacterial cell membranes or inhibiting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produc-tion of essential cellular components like DNA. These findings may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prompt further research to enhance our understanding of how flavonoids combat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tuberculosis, potentially establishing their importance as key compounds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treating the disease.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Copyright© Bentham Science Publishers; For any queries, please email 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epub@benthamscience.net.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10.2174/0118715265361578250504110100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40619653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D6E2D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 xml:space="preserve">. Lancet Respir Med. 2025 Jul 3:S2213-2600(25)00164-X. doi: </w:t>
      </w:r>
    </w:p>
    <w:p w:rsidR="00EA7B5C" w:rsidRPr="00ED6E2D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ED6E2D">
        <w:rPr>
          <w:rFonts w:ascii="宋体" w:eastAsia="宋体" w:hAnsi="宋体" w:cs="宋体"/>
          <w:b/>
          <w:color w:val="FF0000"/>
          <w:szCs w:val="24"/>
        </w:rPr>
        <w:t>10.1016/S2213-2600(25)00164-X. 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Evidence required to evaluate the use of bacteriologically confirmed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asymptomatic tuberculosis disease as a primary endpoint in prevention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 disease vaccine licensure trials.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White RG(1), Churchyard GJ(2), Horton KC(3), Fiore-Gartland A(4), Behr MA(5),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Clark RA(3), Cobelens F(6), Ernst JD(7), Esmail H(8), Garcia-Basteiro AL(9),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Hadinegoro SR(10), Hanekom WA(11), Hatherill M(12), Hill PC(13), Muloiwa R(14),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Pelzer PT(15), Rangaka L(8), Rees H(16), Schrager L(15), Stanley M(17), Tufet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M(18), Wong EB(19), Houben RMGJ(3).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 Epidemiology, London School of Hygiene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Tropical Medicine, London, UK; TB Centre, London School of Hygiene and Tropical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London, UK. Electronic address: richard.white@lshtm.ac.uk.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(2)The Aurum Institute, Johannesburg, South Africa; Department of Medicine,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Vanderbilt University, Nashville, TN, USA; School of Public Health, Faculty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Health Sciences, University of the Witwatersrand, Johannesburg,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 Epidemiology, London School of Hygiene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Tropical Medicine, London, UK; TB Centre, London School of Hygiene and Tropical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(4)Vaccine and Infectious Disease Division, Fred Hutchinson Cancer Center,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Seattle, WA,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(5)McGill International TB Centre, McGill University, Montreal, QC, Canada.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Global Health, Amsterdam University Medical Centres, University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Amsterdam, Amsterdam, Netherlands; Amsterdam Institute of Global Health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Development, Amsterdam, Netherlands.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Medicine, Division of Experimental Medicine,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California San Francisco, San Francisco, CA,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(8)Medical Research Council Clinical Trials Unit, University College London,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London, UK; WHO Collaborating Centre for TB Research and Innovation, Institute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Global Health, University College London, London, UK; Centre for Infectious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Diseases Research Africa, Institute of Infectious Disease and Molecular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University of Cape Town, Cape 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(9)ISGlobal, Hospital Clínic - Universitat de Barcelona, Barcelona, Spain;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Centro de Investigação em Saúde de Manhiça, Maputo, Mozambique; Centro de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Investigación Biomédica en Red de Enfermedades Infecciosas, Barcelona, Spain.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(10)Department of Child Health, Faculty of Medicine Universitas Indonesia,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Jakarta, Indonesia.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(11)Division of Infection and Immunity, University College London, London, UK;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Africa Health Research Institute, Durban,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(12)South African Tuberculosis Vaccine Initiative, Institute of Infectious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Disease and Molecular Medicine, University of Cape Town, Cape Town, South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Africa; Department of Pathology, University of Cape Town, Cape Town, South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(13)Centre for International Health, University of Otago, Dunedin, New Zealand.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(14)Department of Paediatrics and Child Health, University of Cape Town, Cape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(15)International AIDS Vaccine Initiative, New York, NY,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(16)Wits Reproductive Health and HIV Institute, University of the Witwatersrand,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Johannesburg,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(17)Department of Pathology, University of Cambridge, Cambridge,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(18)GAVI, the Vaccine Alliance, Geneva, Switzerland.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(19)Africa Health Research Institute, Durban, South Africa; Division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Infectious Diseases, Heersink School of Medicine, University of Alabama 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Birmingham, Birmingham, AL,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Current licensure trials of new vaccines to prevent tuberculosis disease use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bacteriologically confirmed symptomatic tuberculosis disease as the primary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endpoint. Globally, the incidence of symptomatic tuberculosis disease is low,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making licensure trials large, long, and expensive. New data suggest that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bacteriologically confirmed asymptomatic tuberculosis disease might occur more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frequently than symptomatic tuberculosis disease. Therefore, if vaccines have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efficacy against asymptomatic disease, tuberculosis vaccine licensure trials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could include it in the primary endpoint, potentially leading to smaller 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shorter trials. We describe the potential benefits and risks of this inclusion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the primary endpoint of tuberculosis vaccine licensure trials. We also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simulate licensure trial endpoint accrual and summarise feedback from anonymous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regulators and policy makers on the knowledge needed to consider this proposal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research studies needed to fill these evidence gaps. If bacteriologically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confirmed asymptomatic tuberculosis disease could be included in the primary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endpoint of tuberculosis disease licensure trials, it could lead to cheaper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more rapid tuberculosis vaccine development.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 © 2025 Elsevier Ltd. All rights reserved, including those for text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data mining, AI training, and similar technologies.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10.1016/S2213-2600(25)00164-X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PMID: 40618773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D6E2D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 xml:space="preserve">. Lancet. 2025 Jul 3:S0140-6736(25)01328-5. doi: 10.1016/S0140-6736(25)01328-5. </w:t>
      </w:r>
    </w:p>
    <w:p w:rsidR="00EA7B5C" w:rsidRPr="00ED6E2D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ED6E2D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Undoing progress through sudden tuberculosis funding cuts.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Maciel EL(1), Pablos-Mendez A(2), Abubakar I(3).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(1)Laboratory of Epidemiology, Federal University of Espírito Santo, Vitória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29040-091, Brazil. Electronic address: ethel.maciel@ufes.br.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(2)Division of General Internal Medicine, Columbia University Medical Center,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New York, NY,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(3)Faculty of Population Health Sciences, University College London,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10.1016/S0140-6736(25)01328-5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40618769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D6E2D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 xml:space="preserve">. Lancet. 2025 Jul 3:S0140-6736(25)00831-1. doi: </w:t>
      </w:r>
      <w:r w:rsidR="00ED6E2D" w:rsidRPr="00ED6E2D">
        <w:rPr>
          <w:rFonts w:ascii="宋体" w:eastAsia="宋体" w:hAnsi="宋体" w:cs="宋体"/>
          <w:b/>
          <w:color w:val="FF0000"/>
          <w:szCs w:val="24"/>
        </w:rPr>
        <w:t xml:space="preserve">10.1016/S0140-6736(25)00831-1. 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case for optimal investment in combating HIV, tuberculosis, and malaria: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global modelling study.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Hallett TB(1), Menzies NA(2), Resch S(2), Pretorius C(3), Stover J(3), Su JS(2),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Winskill P(4), Gordon M(5), Grahn R(5), Mahmood F(5), Smit M(6), Hosseini M(5),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Hunger J(5).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(1)MRC Centre for Global Infectious Disease Analysis, School of Public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Imperial College London, London, UK.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timothy.hallett@imperial.ac.uk.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(2)Harvard T H Chan School of Public Health, Boston, MA,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(3)Avenir Health, Glastonbury, CT,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(4)MRC Centre for Global Infectious Disease Analysis, School of Public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Imperial College London,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(5)The Global Fund to Fight AIDS, Tuberculosis and Malaria, Geneva, Switzerland.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(6)MRC Centre for Global Infectious Disease Analysis, School of Public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Imperial College London, London, UK; The Global Fund to Fight AIDS,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Malaria, Geneva, Switzerland.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Sustainable Development Goals (SDGs) include ending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epidemics of HIV, tuberculosis, and malaria by 2030. With 5 years remaining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meet this goal, and with the Global Fund to Fight AIDS, Tuberculosis and Malaria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seeking funding for programmes in 2027-29, establishing what can be achieved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through continued investment in combatting these diseases is crucial. We aimed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 estimate the potential for impact by analysing the funding landscape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epidemiological situations of these three diseases, the costs of key programmes,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the extent of possible future progress in the countries eligible for Global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Fund support.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this modelling study, we developed estimates of the financial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resources needed in Global Fund-supported countries to combat HIV, tuberculosis,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malaria from the global plans produced by UNAIDS, the Stop TB Partnership,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WHO. Estimates of available resources in the coming years were obtained by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assuming that national expenditure on the three diseases would grow in line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general governmental expenditures, that the Global Fund would contribute 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additional $18·0 billion, and that other developmental assistance would be 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same level in real terms as the average in the period 2020-22.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Epidemiological and costing models for each of the three diseases were used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quantify the possible impact in Global Fund-eligible countries (including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aggregated mortality and incidence rates). The return on investment (ROI) was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computed considering both the intrinsic value of health and the direct economic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benefits of the reduced risk of morbidity and premature mortality. The analysis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was completed at the end of 2024 with the latest available data, which pertained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 the year 2023. The focus of the projection period was 2027-29, a period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which scale-up plans and funding have not yet been committed and the period when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most of the resources raised by the eighth replenishment of the Global Fund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would be used.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FINDINGS: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total resource needs for the three diseases were estimated to be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US$140·6 billion in 2027-29. We calculated that $111·3 billion (79%) of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need could be met from domestic financing ($69·7 billion), the Global Fund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($18·0 billion), and other external donors ($23·6 billion). Optimal use of these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available resources could save 23 million lives and avert 400 million cases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new infections during 2027-29. The trajectory of the combined mortality rate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all diseases was projected to approach that needed to reach the SDG for 2030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(with a difference between the target in 2030 and the projection at the end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2029 of between 1·5% and 15·5% of the normalised aggregated mortality rate),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inequality in life expectancy between countries would be 7% lower by 2029,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189 million fewer hospital days and 572 million fewer outpatient visits would be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needed in 2027-29, saving $1·1 billion. For every 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$1·00 invested, there could be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up to $19·00 in intrinsic health value created or $3·50 in direct economic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benefits.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INTERPRETATION: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Continued investments to combat HIV, tuberculosis, and malaria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could yield enormous health gains and a high return on investment. Realising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these benefits will require continued growth in national expenditure and a broad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maintenance of external financing for these diseases, including a successful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replenishment of the Global Fund in 2025.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FUNDING: The Global Fund.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 © 2025 The Author(s). Published by Elsevier Ltd. This is an Open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Access article under the CC BY 4.0 license. Published by Elsevier Ltd.. All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rights reserved.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10.1016/S0140-6736(25)00831-1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40618766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D6E2D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>. Respiration. 2025 Jul 5:1-16. doi: 10.1159/000547109. 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Increased Risk of Tuberculosis Disease in Lung Cancer Patients Undergoing Immune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Checkpoint Inhibitor Therapy: A Retrospective Multicenter Study.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Park Y, Min J, Lim JU, Yeo CD, Kang HS, Choi JY, Kim KY, Kim SH, Park JW.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introduction of immune checkpoint inhibitor (ICI) therapy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lung cancer has improved survival rates, leading to its widespread use. However,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there has been a recent increase in case reports of tuberculosis (TB) disease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occurrence following ICI treatment. The objective of this study was to ascertain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whether the incidence of TB disease is elevated in the ICI group compared to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group receiving platinum-based chemotherapy among all lung cancer patients.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 compare the risk of TB disease occurrence between the ICI group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Platinum group in lung cancer patients, a retrospective study was conducted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using the clinical data warehouse platform of eight university hospitals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affiliated with the Catholic Medical Center in South 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Out of a total of 7,980 patients, those meeting the exclusion criteria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were excluded, 991 were categorized into the ICI group, and 3,646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classified into the Platinum group. The TB disease incidence rate was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significantly higher in the ICI group (4.46 per 1,000 person-years) than in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platinum group (1.12 per 1,000 person-years), with a rate ratio (RR) of 3.98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(95% CI: 1.58-10.00; p = 0.003). Multivariable analysis confirmed ICI therapy 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sole factor significantly associated with TB disease occurrence (adjusted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HR: 3.701 95% CI: 1.467-9.333; p = 0.006).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with ICI in lung cancer patients was associated with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statistically significant increase in the risk of TB disease occurrence compared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 conventional platinum-based chemotherapy. Therefore, particularly in patients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treated with ICI therapy, prompt respiratory sample tests should be performed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for early TB disease diagnosis when new lung lesions are identified.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The Author(s). Published by S. Karger AG, Basel.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10.1159/000547109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40618751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D6E2D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 xml:space="preserve">. Biomed Pharmacother. 2025 Jul 5;189:118314. doi: 10.1016/j.biopha.2025.118314. </w:t>
      </w:r>
    </w:p>
    <w:p w:rsidR="00EA7B5C" w:rsidRPr="00ED6E2D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ED6E2D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Metformin induces iron deprivation and enhances mitochondrial ROS in macrophages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creating a hostile environment for survival of intracellular Mycobacterium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Modanwal R(1), Chaubey GK(1), Dilawari R(1), Talukdar S(1), Sindhu A(2), Raje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CI(2), Raje M(3).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(1)CSIR-Institute of Microbial Technology, Sector 39A, Chandigarh 160036,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(2)National Institute of Pharmaceutical Education &amp; Research, Phase X, Sector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67, SAS Nagar, Punjab 160062,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(3)CSIR-Institute of Microbial Technology, Sector 39A, Chandigarh 160036, India;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Department of Biophysics, Panjab University, Chandigarh, India. Electronic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address: manojraje@gmail.com.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Diabetes, especially type 2 diabetic mellitus (T2DM) is associated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increased risk of contracting tuberculosis (TB). Though several factors,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including immune system dysfunction, have been linked to this sensitivity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exact reasons have yet to be fully elucidated. Although metformin, a diabetic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medication, has been suggested as a potential supplementary for host-directed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therapy of tuberculosis, the mechanisms of its anti-TB effects remain unclear.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Extremely virulent pathogens including M. tb require copious supplies of iron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their survival within host. Macrophages are a key player of innate immunity,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a target for invading mycobacteria to colonize. Upon infection macrophages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attempt to withhold this strategic mineral from the pathogen and clear it.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sought to ascertain as to how anti-hyperglycemic medications like metformin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affect the regulation of iron metabolism and oxidative stress. Our findings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demonstrate that metformin decreases intracellular iron levels by decreasing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endocytosis of iron carrier protein transferrin. Studying macrophages in a cell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culture model (in-vitro and ex-vivo) as well as from an in-vivo rodent model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observed that the recruitment of both classical and non-classical transferrin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receptors (CD71 and GAPDH) to their surface was decreased. Metformin was also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found to induce mitochondrial ROS production though cellular ROS was inhibited.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Since iron and mitochondrial reactive oxygen species (mitoROS) are essential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regulating intra cellular Mycobacterium tuberculosis growth, our current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findings indicate that metformin could be the first choice in the treatment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T2DM2 in individuals from tuberculosis-endemic areas and also as an adjunct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therapeutic for TB patients in general.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 © 2025 The Authors. Published by Elsevier Masson SAS.. All rights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reserved.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10.1016/j.biopha.2025.118314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40618587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D6E2D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>. Syst Rev. 2025 Jul 5;14(1):139. doi: 10.1186/s13643-025-02888-y.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Impact of alcohol consumption, substance use, and smoking on treatment outcomes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 tuberculosis: a systematic review and meta-analysis.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Heshmati B(1)(2), Omidi S(1)(2), Mohammadi Y(3)(4).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Epidemiology, School of Public Health, Hamadan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Medical Sciences, Hamadan, Iran.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(2)Student Research Committee, Hamadan University of Medical Sciences, Hamadan,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Iran.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Epidemiology, School of Public Health, Hamadan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Medical Sciences, Hamadan, Iran. younesmohamadi@gmail.com.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(4)Social Determinants of Health Research Center, Hamadan University of Medical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Sciences, Hamadan, Iran. younesmohamadi@gmail.com.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This study aimed to elucidate the influence of alcohol, smoking,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substance use on tuberculosis (TB) treatment failure using a meta-analysis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approach.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 comprehensive search strategy was developed and applied to three major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databases: MEDLINE, Web of Science, and Scopus. Additionally, Google Scholar,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Google were used to locate grey literature. Studies were identified through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title and abstract screening, followed by a full-text review for eligibility.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Newcastle-Ottawa Scale checklist was employed to assess the quality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included studies. Pooled odds ratios (OR) with 95% confidence intervals (CI)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were calculated for each factor.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initial database search and other sources yielded 10,518 articles.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After applying inclusion criteria, 19 studies with a total of 180,119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participants were selected for the meta-analysis. The results revealed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significant associations between all three factors and treatment failure. Pooled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ORs indicated that alcohol consumption (OR 2.05; 95% CI 1.65 to 2.55), smoking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(OR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1.85; 95% CI 1.44 to 2.37), and substance use (OR 2.04; 95% CI 1.63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2.55) were each associated with an increased risk of TB treatment failure.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Additionally, the majority of included studies demonstrated high methodological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quality.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Our findings suggest that alcohol, smoking, and substance use are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significant risk factors for unsuccessful TB treatment. To enhance TB treatment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efficacy, preventive interventions aimed at reducing these behaviors before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treatment initiation are recommended.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10.1186/s13643-025-02888-y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PMC12229002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40618124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D6E2D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 xml:space="preserve">. Tuberculosis (Edinb). 2025 Jul 1;154:102669. doi: 10.1016/j.tube.2025.102669. </w:t>
      </w:r>
    </w:p>
    <w:p w:rsidR="00EA7B5C" w:rsidRPr="00ED6E2D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ED6E2D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Exploring novel salivary host biomarkers for immunological diagnosis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tuberculosis: A preliminary biomarker discovery study.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Selvan P(1), Nagesh NJ(2), Vajravelu LK(3).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Microbiology, SRM Medical College Hospital and Research Centre,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Faculty of Medicine and Health Sciences, SRM Institute of Science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Technology, Kattankulathur, Chengalpattu District, 603203, Tamilnadu, India.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Electronic address: jeevepavi123@gmail.com.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SRM Medical College Hospital and Research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Centre, Faculty of Medicine and Health Sciences, SRM Institute of Science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Technology, Kattankulathur, Chengalpattu District, 603203, Tamilnadu,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Microbiology, SRM Medical College Hospital and Research Centre,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Faculty of Medicine and Health Sciences, SRM Institute of Science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Technology, Kattankulathur, Chengalpattu District, 603203, Tamilnadu,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is a serious public health concern on a global scale, which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emphasises the critical need for quick and precise diagnostic and treatment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response monitoring techniques. In this study, Luminex multiplex immunoassay was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used to detect the concentrations of 37 host biomarkers in saliva samples from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46 patients newly diagnosed with active pulmonary tuberculosis (PTB) and 46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patients with other respiratory diseases (ORD). Multiple logistic regression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area under the receiver operator characteristics curve (AUC) were used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evaluate the diagnostic accuracy of biomarkers, which showed significant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differences between the 2 groups. This study reported that Fractalkine exhibited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highest diagnostic accuracy and excellent discriminatory power,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statistically significant results (p ≤ 0.05), an A</w:t>
      </w:r>
      <w:r w:rsidR="00ED6E2D">
        <w:rPr>
          <w:rFonts w:ascii="宋体" w:eastAsia="宋体" w:hAnsi="宋体" w:cs="宋体" w:hint="eastAsia"/>
          <w:color w:val="000000" w:themeColor="text1"/>
          <w:szCs w:val="24"/>
        </w:rPr>
        <w:t xml:space="preserve">UC of 0.91, 89.1 % sensitivity </w:t>
      </w:r>
      <w:r w:rsidRPr="00EA7B5C">
        <w:rPr>
          <w:rFonts w:ascii="宋体" w:eastAsia="宋体" w:hAnsi="宋体" w:cs="宋体"/>
          <w:color w:val="000000" w:themeColor="text1"/>
          <w:szCs w:val="24"/>
        </w:rPr>
        <w:t>and 76.1 % specificity, highlighting its strong potential to dis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tinguish PTB </w:t>
      </w:r>
      <w:r w:rsidRPr="00EA7B5C">
        <w:rPr>
          <w:rFonts w:ascii="宋体" w:eastAsia="宋体" w:hAnsi="宋体" w:cs="宋体"/>
          <w:color w:val="000000" w:themeColor="text1"/>
          <w:szCs w:val="24"/>
        </w:rPr>
        <w:t>cases from ORD cases. Additionally, our study f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ound that the median levels of 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IL-17A, IL-23, and VEGF were statistically significant (p ≤</w:t>
      </w:r>
      <w:r w:rsidR="00ED6E2D">
        <w:rPr>
          <w:rFonts w:ascii="宋体" w:eastAsia="宋体" w:hAnsi="宋体" w:cs="宋体" w:hint="eastAsia"/>
          <w:color w:val="000000" w:themeColor="text1"/>
          <w:szCs w:val="24"/>
        </w:rPr>
        <w:t xml:space="preserve"> 0.05). General </w:t>
      </w:r>
      <w:r w:rsidRPr="00EA7B5C">
        <w:rPr>
          <w:rFonts w:ascii="宋体" w:eastAsia="宋体" w:hAnsi="宋体" w:cs="宋体"/>
          <w:color w:val="000000" w:themeColor="text1"/>
          <w:szCs w:val="24"/>
        </w:rPr>
        <w:t>discriminant analysis further identified Fractal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kine, VEGF, GM-CSF, IL-23, and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IL-1α as the top five most effective biomarkers 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for </w:t>
      </w:r>
      <w:r w:rsidR="00ED6E2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combinations. The backward </w:t>
      </w:r>
      <w:r w:rsidRPr="00EA7B5C">
        <w:rPr>
          <w:rFonts w:ascii="宋体" w:eastAsia="宋体" w:hAnsi="宋体" w:cs="宋体"/>
          <w:color w:val="000000" w:themeColor="text1"/>
          <w:szCs w:val="24"/>
        </w:rPr>
        <w:t>elimination approach demonstrated the potenti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al usefulness of a four-marker </w:t>
      </w:r>
      <w:r w:rsidRPr="00EA7B5C">
        <w:rPr>
          <w:rFonts w:ascii="宋体" w:eastAsia="宋体" w:hAnsi="宋体" w:cs="宋体"/>
          <w:color w:val="000000" w:themeColor="text1"/>
          <w:szCs w:val="24"/>
        </w:rPr>
        <w:t>combination (Fractalkine + GM-CSF + IL-23 + IL-1α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) as a confirmatory diagnostic </w:t>
      </w:r>
      <w:r w:rsidRPr="00EA7B5C">
        <w:rPr>
          <w:rFonts w:ascii="宋体" w:eastAsia="宋体" w:hAnsi="宋体" w:cs="宋体"/>
          <w:color w:val="000000" w:themeColor="text1"/>
          <w:szCs w:val="24"/>
        </w:rPr>
        <w:t>tool by achieving the greatest overall diagnosti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c accuracy with an AUC of 0.94 </w:t>
      </w:r>
      <w:r w:rsidRPr="00EA7B5C">
        <w:rPr>
          <w:rFonts w:ascii="宋体" w:eastAsia="宋体" w:hAnsi="宋体" w:cs="宋体"/>
          <w:color w:val="000000" w:themeColor="text1"/>
          <w:szCs w:val="24"/>
        </w:rPr>
        <w:t>and 91.3 % specificity. Thus, combin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ing multiple markers with high </w:t>
      </w:r>
      <w:r w:rsidRPr="00EA7B5C">
        <w:rPr>
          <w:rFonts w:ascii="宋体" w:eastAsia="宋体" w:hAnsi="宋体" w:cs="宋体"/>
          <w:color w:val="000000" w:themeColor="text1"/>
          <w:szCs w:val="24"/>
        </w:rPr>
        <w:t>discriminating power may improve diagnostic perfor</w:t>
      </w:r>
      <w:r w:rsidR="00ED6E2D">
        <w:rPr>
          <w:rFonts w:ascii="宋体" w:eastAsia="宋体" w:hAnsi="宋体" w:cs="宋体"/>
          <w:color w:val="000000" w:themeColor="text1"/>
          <w:szCs w:val="24"/>
        </w:rPr>
        <w:t xml:space="preserve">mance and subsequently provide </w:t>
      </w:r>
      <w:r w:rsidRPr="00EA7B5C">
        <w:rPr>
          <w:rFonts w:ascii="宋体" w:eastAsia="宋体" w:hAnsi="宋体" w:cs="宋体"/>
          <w:color w:val="000000" w:themeColor="text1"/>
          <w:szCs w:val="24"/>
        </w:rPr>
        <w:t>a more accurate, non-invasive saliva-based PTB diagnostic tool.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10.1016/j.tube.2025.102669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40617182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D6E2D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>. ACS Infect Dis. 2025 Jul 5. doi: 10.1021/acsinf</w:t>
      </w:r>
      <w:r w:rsidR="00ED6E2D">
        <w:rPr>
          <w:rFonts w:ascii="宋体" w:eastAsia="宋体" w:hAnsi="宋体" w:cs="宋体"/>
          <w:b/>
          <w:color w:val="FF0000"/>
          <w:szCs w:val="24"/>
        </w:rPr>
        <w:t xml:space="preserve">ecdis.5c00311. Online ahead of </w:t>
      </w:r>
      <w:r w:rsidR="00EA7B5C" w:rsidRPr="00ED6E2D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Design, Synthesis, and Antibacterial Evaluation of Rifampicin-Siderophore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Conjugates.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Lysenko V(1), Gao ML(1), Sterk FAC(1), Innocenti P(1), Slingerland CJ(1), Martin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NI(1).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(1)Biological Chemistry Group, Institute of Biology Leiden, Leiden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Sylviusweg 72, 2333 BE Leiden, The Netherlands.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growing concern over antibiotic resistance has sparked increased attention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toward developing alternative antibiotic strategies. One promising approach,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known as the "Trojan horse" strategy, involves the use of siderophores to hijack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bacteria's iron transport systems as a way of delivering antibiotics inside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bacterial cell. This method is particularly promising in tackling Gram-negative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bacteria, which have an outer membrane that many antibiotics cannot penetrate.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One such antibiotic is rifampicin, a drug used to treat tuberculosis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infections caused by Gram-positive bacteria. Although rifampicin binds to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highly conserved bacterial RNA subunit, its activity is generally poor against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Gram-negative bacteria due to their outer membrane. Aiming to expand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rifampicin's efficacy, we here report the design and synthesis of several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rifampicin-siderophore conjugates that exhibit enhanced activity against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Gram-negative pathogens. Our findings indicate that the structural features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both the linker and catechol are crucial for the activity of conjugates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compound 33, wherein rifampicin is connected to chlorocatechol via a short ester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linker, showing an up to 32-fold improvement in activity.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10.1021/acsinfecdis.5c00311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PMID: 40616779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D6E2D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ED6E2D">
        <w:rPr>
          <w:rFonts w:ascii="宋体" w:eastAsia="宋体" w:hAnsi="宋体" w:cs="宋体"/>
          <w:b/>
          <w:color w:val="FF0000"/>
          <w:szCs w:val="24"/>
        </w:rPr>
        <w:t>1</w:t>
      </w:r>
      <w:r w:rsidR="009E256A">
        <w:rPr>
          <w:rFonts w:ascii="宋体" w:eastAsia="宋体" w:hAnsi="宋体" w:cs="宋体"/>
          <w:b/>
          <w:color w:val="FF0000"/>
          <w:szCs w:val="24"/>
        </w:rPr>
        <w:t>0</w:t>
      </w:r>
      <w:r w:rsidRPr="00ED6E2D">
        <w:rPr>
          <w:rFonts w:ascii="宋体" w:eastAsia="宋体" w:hAnsi="宋体" w:cs="宋体"/>
          <w:b/>
          <w:color w:val="FF0000"/>
          <w:szCs w:val="24"/>
        </w:rPr>
        <w:t>. Int J Equity Health. 2025 Jul 4;24(1):195. doi: 10.1186/s12939-025-02516-0.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Public-private partnership to end tuberculosis: challenges and opportunities.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Singh S(1)(2).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(1)Former Director, All India Institute of Medical Sciences, Bhopal, India.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sarman_singh@yahoo.com.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(2)Director Medical Research, Aarupadai Veedu Medical College &amp; Hospital,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Vinayaka Mission's Research Foundation (Deemed University), Pondicherry, India.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sarman_singh@yahoo.com.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10.1186/s12939-025-02516-0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PMC12228387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40616075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CF2131">
        <w:rPr>
          <w:rFonts w:ascii="宋体" w:eastAsia="宋体" w:hAnsi="宋体" w:cs="宋体"/>
          <w:b/>
          <w:color w:val="FF0000"/>
          <w:szCs w:val="24"/>
        </w:rPr>
        <w:t>1</w:t>
      </w:r>
      <w:r w:rsidR="009E256A">
        <w:rPr>
          <w:rFonts w:ascii="宋体" w:eastAsia="宋体" w:hAnsi="宋体" w:cs="宋体"/>
          <w:b/>
          <w:color w:val="FF0000"/>
          <w:szCs w:val="24"/>
        </w:rPr>
        <w:t>1</w:t>
      </w:r>
      <w:r w:rsidRPr="00CF2131">
        <w:rPr>
          <w:rFonts w:ascii="宋体" w:eastAsia="宋体" w:hAnsi="宋体" w:cs="宋体"/>
          <w:b/>
          <w:color w:val="FF0000"/>
          <w:szCs w:val="24"/>
        </w:rPr>
        <w:t>. BMC Complement Med Ther. 2025 Jul 4;25(1):240. doi: 10.1186/s12906-025-04987-8.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CRISPRi knockdown of mycobacterial tkt gene potentiates the anti-mycobacterial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activity of phyto-compounds from selected medicinal plants.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Matotoka MM(1), Mashabela GT(2), Masoko P(3).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(1)Faculty of Science and Agriculture, Department of Biochemistry, Microbiology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Biotechnology, University of Limpopo, Private Bag X1106, Sovenga, 0727,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(2)Division of Molecular Biology and Human Genetics, SAMRC Centre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Research, Stellenbosch University, Tygerberg Campus, Francie Van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Zijl Drive, ParowCape Town, 7505,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(3)Faculty of Science and Agriculture, Department of Biochemistry, Microbiology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Biotechnology, University of Limpopo, Private Bag X1106, Sovenga, 0727,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South Africa. Peter.Masoko@ul.ac.za.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Mycobacterium tuberculosis (Mtb) infection is well known to be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challenging to treat. Treatment effectiveness is restricted by the pathogen's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inherent drug resistance. A deeper understanding of essential bacterial pathways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that influence Mtb growth and survival can expediate the development of more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effective therapies from various sources. Here, using mycobacterial tkt gene 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 model target, we report on the use of CRISPR interference gene knockdown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potentiate the antimycobacterial activity of selected medicinal plant extracts.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growth phenotypes were investigated on solid and liquid media.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Broth micro-dilution assay was used to determine minimum inhibitory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concentrations. Potential cytotoxicity of the extracts was investigated using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Vero cell lines. LC-MS was used for phytochemical analysis. In silico docking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was performed on transketolase (Rv1449c), NADH-dependent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enoyl-[acyl-carrier-protein] reductase (Rv1484), catalase-peroxidase (Rv1908c).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Phenotypic characterisation of the CRISPRi mutants showed that gradual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tkt knockdown fully, led to growth disruption. Chemical-genetic interactions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showed that tkt knockdown increased the antimycobacterial activity of acetone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extracts from Peltophorum africanum and Croton gratissimus by twofold in CRISPRi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hypomoprhs. Molecular docking data revealed that Phlorizin from C. gratissimus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(-8.1 kcal/mol), Ficus sur tritepernoid (-9.6 kcal/mol) and P. africanum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(6-hydroxydelphinidin 3-glucoside) (-8.9 kcal/mol) had the best binding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affinities to the TKT active site pocket. Moreover, these compounds had better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binding affinities to both NADH-dependent reductase and catalase-peroxidase than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Isoniazid.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 research demonstrated that the mycobacterial tkt gene is crucial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bacterial growth, and CRISPRi-mediated knockdown of this gene enhanced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anti-mycobacterial activity of phyto-compounds, which showed multiple binding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affinities to established anti-Mtb targets.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10.1186/s12906-025-04987-8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PMC12228161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40615820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 xml:space="preserve">. Indian J Med Microbiol. 2025 Jul 2:100912. doi: 10.1016/j.ijmmb.2025.100912. </w:t>
      </w:r>
    </w:p>
    <w:p w:rsidR="00EA7B5C" w:rsidRPr="00CF2131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CF2131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Defining drug resistance beyond rifampicin: use of Xpert® MTB/XDR assay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Tuberculous meningitis.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Sharma K(1), Sharma M(2), Shree R(3), Joshi H(4), Singla N(5), Kakkar AK(6),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Patial V(7), Kaur C(8), Sharma S(9), Goyal M(10), Sharma A(11), Sharma N(12),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Modi M(13).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Microbiology, PGIMER, Chandigarh, India. Electronic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address: sharmakusum9@yahoo.co.in.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Microbiology, All India Institute of Medical Sciences (AIIMS)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Bilaspur, Himachal Pradesh, India.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megha_sharma_16@yahoo.co.in.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(3)Department of Neurology, PGIMER, Chandigarh.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Ritushree18@gmail.com.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Medical Microbiology, PGIMER, Chandigarh, India. Electronic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address: joshi.himanshu85@gmail.com.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 of Internal Medicine, PGIMER, Chandigarh.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neerajsingledr@gmail.com.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Pharmacology, PGIMER, Chandigarh.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rashishkakkar@gmail.com.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Medical Microbiology, PGIMER, Chandigarh, India. Electronic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address: vijetapatial16@gmail.com.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(8)Department of Neurology, PGIMER, Chandigarh.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dr.chamanjot@gmail.com.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(9)Department of Neurology, PGIMER, Chandigarh.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priya7chd@gmail.co.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(10)Department of Neurology, PGIMER, Chandigarh.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goyal_mk@yahoo.com.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(11)Department of Internal Medicine, PGIMER, Chandigarh.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amansharma72@yahoo.com.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(12)Department of Internal Medicine, PGIMER, Chandigarh.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navneetsharma@hotmail.com.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(13)Department of Neurology, PGIMER, Chandigarh.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modim72@yahoo.com.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- The emerging drug resistance in Tuberculous meningitis (TBM) worsens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prognosis and hamper elimination efforts. The need of the hour is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relatively simple, rapid, near point-of-care test that could allow universal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drug susceptibility testing, beyond rifampicin (RIF). The current study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evaluated performance of Xpert MTB/XDR in defining drug resistant TBM.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- A total of 45 cerebrospinal fluid samples (29 culture-positive, 16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culture-negative) reported TBM by Xpert MTB/Ultra were subjected to Xpert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MTB/XDR to determine susceptibility towards isoniazid (INH), fluoroquinolones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(FLQ), second-line injectables (SLID) and ethambutol (ETM). The performance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Xpert MTB/XDR was evaluated against genotypic drug susceptibility testing (line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probe assay (LPA) and phenotypic drug susceptibility testing (culture)).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- There was 100% concordance between Xpert MTB/XDR and drug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susceptibility using both culture and LPA for INH and SLIDs. For FLQ,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sensitivity and specificity of Xpert MTB/XDR was 93% and 100%, respectively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against both culture and LPA, as there was one case each reported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false-susceptible by Xpert MTB/XDR. The sensitivity and specificity of Xpert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MTB/XDR for ETM was 93% and 100%, respectively against culture and one case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false-resistance was reported.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- Xpert MTB/XDR can serve as a useful tool to rapidly identify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resistance to INH, FLQ, SLID and ETM, thus offering targeted therapy to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patients of TBM.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 © 2025 Indian Association of Medical Microbiologists. Published by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Elsevier B.V. All rights reserved.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10.1016/j.ijmmb.2025.100912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40614865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 xml:space="preserve">. Lancet HIV. 2025 Jul 1:S2352-3018(25)00124-9. doi: </w:t>
      </w:r>
    </w:p>
    <w:p w:rsidR="00EA7B5C" w:rsidRPr="00CF2131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CF2131">
        <w:rPr>
          <w:rFonts w:ascii="宋体" w:eastAsia="宋体" w:hAnsi="宋体" w:cs="宋体"/>
          <w:b/>
          <w:color w:val="FF0000"/>
          <w:szCs w:val="24"/>
        </w:rPr>
        <w:t>10.1016/S2352-3018(25)00124-9. 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Safety and immunogenicity of investigational tuberculosis vaccine M72/AS01(E-4)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people living with HIV in South Africa: an observer-blinded, randomised,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controlled, phase 2 trial.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Dagnew AF(1), Han LL(2), Naidoo K(3), Fairlie L(4), Innes JC(5), Middelkoop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K(6), Tameris M(7), Wilkinson RJ(8), Ananworanich J(2), Bower D(2), Schlehuber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L(2), Frahm N(2), Cinar A(2), Dunne M(2), Schmidt AC(2).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(1)Gates Medical Research Institute, Clinical Development, Cambridge, MA, USA.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Electronic address: alemnew.dagnew@gatesmri.org.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(2)Gates Medical Research Institute, Clinical Development, Cambridge, MA,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(3)CAPRISA-South African Medical Research Council (SAMRC) TB-HIV Pathogenesis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Treatment Research Unit, University of KwaZulu-Natal Nelson R Mandela School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of Medicine, Durban,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(4)Wits RHI, Faculty of Health Sciences, University of the Witwatersrand,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Johannesburg,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(5)The Aurum Institute, Clinical Research Division, Aurum Klerksdorp Clinical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Research, Klerksdorp,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(6)Desmond Tutu HIV Center, Institute of Infectious Disease and Molecular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Medicine, Department of Medicine, University of Cape Town, Cape Town, South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(7)South African Tuberculosis Vaccine Initiative (SATVI), Department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Pathology and Institute of Infectious Disease and Molecular Medicine, University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of Cape Town, Cape 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(8)Wellcome Discovery Research Platforms in Infection, Center for Infectious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Diseases Research in Africa, Institute of Infectious Disease and Molecular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Medicine and Department of Medicine, University of Cape Town, Cape Town, South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Africa; Francis Crick Institute, London, UK; Department of Infectious Diseases,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Imperial College London,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M72/AS01E-4 is a recombinant fusion protein vaccine candidate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derived from two Mycobacterium tuberculosis antigens (Mtb32A and Mtb39A)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AS01E-4 adjuvant. We evaluated safety and immunogenicity of M72/AS01E-4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people living with HIV in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this observer-blinded, randomised, controlled, phase 2 trial,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participants aged 16-35 years with well controlled HIV were enrolled from urban,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semi-urban, and semi-rural settings in South Africa, including sites with high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and HIV prevalence, as well as agricultural and mining communities.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Participants were randomly assigned (1:1), stratified by site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interferon-gamma release assay (IGRA) status, to receive two intramuscular doses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M72/AS01E-4 or placebo. Eligibility criteria included antiretroviral therapy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at least 3 months, HIV viral load of less than 200 copies per mL, CD4 counts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200 cells per μL or higher, and previous completion of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preventive therapy and no tuberculosis history. The sponsor and its delegates,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laboratory team, investigators, site staff, and participants were blinded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randomisation, whereas an unblinded pharmacist who was not involved in trial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procedures prepared placebo and reconstituted M72/AS01E-4 in unit-dose syringes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covered with a blinding label. All participants who received at least one dose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either M72/AS01E-4 or placebo were included in the safety population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safety analyses. Immunogenicity analyses were conducted using the per-protocol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population, which included participants who received the intervention as planned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did not substantially deviate from the protocol procedures. Safety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assessments included solicited adverse events in the first 7 days after each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dose, unsolicited adverse events in the first 28 days after each dose,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serious adverse events. Humoral responses were measured with ELISA and cellular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responses were assessed using multiparameter flow cytometry, in the per-protocol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population. This study is complete and is registered with ClinicalTrials.gov,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NCT04556981.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FINDINGS: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Between Nov 17, 2020, and Aug 12, 2022, 402 eligible participants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assigned treatment, of whom 401 participants received at least one dose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M72/AS01E-4 (n=201; 175 [87%] were female and 26 [13%] were male; 196 [98%]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Black) or placebo (n=200; [176 [88%] were female and 24 [12%] were male; 196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[98%] were Black) and followed for a median duration of 372 days (IQR 364-389).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Among M72/AS01E-4 recipients, solicited adverse events were more frequent,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ranging from 17% (33 of 199) for gastrointestinal symptoms to 77% (140 of 183)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injection-site pain. Most events were mild to moderate, with severe events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ranging from 0% (0 of 197) for swelling and (0 of 198) redness to 13% (24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183) for injection-site pain, resolving within 3 days. Unsolicited adverse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events related to vaccine were mainly injection-site reactions in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M72/AS01E-4 group (8% [15 of 201] vs 1% [two of 200] in the placebo group),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including erythema, pruritis, swelling, bruising, induration, and pain. No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vaccine-related serious adverse events were reported. Among M72/AS01E-4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recipients at day 57 (1 month after dose two), M72-specific antibody geometric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mean concentration (GMC) was 479·70 EU/mL (95% CI 421·79-545·56) with median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magnitude of CD4 cells of 0·383% (IQR 0·177%-0·663). Among M72/AS01E-4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recipients, at day 57 GMCs were 559·49 EU/mL (95% CI 461·75-677·93) in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baseline IGRA positivity and 424·95 EU/mL (357·74-504·80) in those without;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median magnitudes of CD4 cells were 0·447% (IQR 0·287-0·819) and 0·321%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(0·147-0·581).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INTERPRETATION: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two-dose regimen of the M72/AS01E-4 tuberculosis vaccine was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immunogenic, with an acceptable safety profile. These outcomes led to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inclusion of people living with HIV in the ongoing global registration phase 3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trial.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FUNDING: Gates Foundation and the Wellcome Trust.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 © 2025 The Author(s). Published by Elsevier Ltd. This is an Open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Access article under the CC BY 4.0 license. Published by Elsevier Ltd.. All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rights reserved.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10.1016/S2352-3018(25)00124-9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40614747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14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 xml:space="preserve">. Tuberculosis (Edinb). 2025 Jul 1;154:102672. doi: 10.1016/j.tube.2025.102672. </w:t>
      </w:r>
    </w:p>
    <w:p w:rsidR="00EA7B5C" w:rsidRPr="00CF2131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CF2131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Efficient cell model for assessing inflammatory responsive genes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Mycobacterium tuberculosis and SARS-CoV-2 co-infection.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 Lucena TMC(1), Miranda DEO(1), Arcoverde JVB(1), Cavalcanti MSB(1), Dantas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WM(2), Pena LJ(2), Barros de Lorena VM(3), Rabello MCDS(3), de Azevedo Silva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(1)Laboratory of Human Genetics and Molecular Biology, Department of Genetics,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Center of Biosciences, Federal University of Pernambuco, Recife, Pernambuco,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Brazil; Molecular Biology Sector, Keizo Asami Institute, Federal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Pernambuco, Recife, Pernambuco, Brazil; Laboratory of Immunoparasitology, Aggeu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Magalhães Institute, Oswaldo Cruz Foundation, Recife, Pernambuco,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(2)Laboratory of Virology and Experimental Therapy, Aggeu Magalhães Institute,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Oswaldo Cruz Foundation, Recife, Pernambuco,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(3)Laboratory of Immunoparasitology, Aggeu Magalhães Institute, Oswaldo Cruz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Foundation, Recife, Pernambuco,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(4)Laboratory of Human Genetics and Molecular Biology, Department of Genetics,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Center of Biosciences, Federal University of Pernambuco, Recife, Pernambuco,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Brazil; Molecular Biology Sector, Keizo Asami Institute, Federal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Pernambuco, Recife, Pernambuco, Brazil. Electronic address: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jaqueline.azevedo@ufpe.br.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and severe acute respiratory syndrome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coronavirus-2 (SARS-CoV-2) may induce immunopathology with extensive lung damage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hosts. To elucidate the dynamics of co-infection Mtb and SARS-CoV-2 and its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impact on inflammatory mediators' expression, we conducted a study to evaluate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A549, lung epithelial cells, as a potential model for hosting both pathogens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simultaneously. Cell infection initiated with Mtb H37Rv and following a 24-h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incubation period, the cells were then infected with SARS-CoV-2. After a 72 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incubation period, a precision test was conducted for both pathogens, and total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RNA was extracted for subsequent analysis of gene expression by RT-qPCR of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target genes: IFN-γ, TNF-α, IL-6, and IL-1β. Addi</w:t>
      </w:r>
      <w:r w:rsidR="00CF2131">
        <w:rPr>
          <w:rFonts w:ascii="宋体" w:eastAsia="宋体" w:hAnsi="宋体" w:cs="宋体"/>
          <w:color w:val="000000" w:themeColor="text1"/>
          <w:szCs w:val="24"/>
        </w:rPr>
        <w:t xml:space="preserve">tionally, the levels of IL-1β,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IL-2, IL-4, IL-6, IL-10, IFN-γ, and TNF-α in the culture supernatants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measured. A549 cells are a stable and reliable cellular model for co-infection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between Mycobacterium tuberculosis and SARS-CoV-2. Co-infection with both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pathogens led to downregulation of IFN-γ, TNF-α, and IL-10, and upregulation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IL-6 and IL-1β compared to uninfected cells. A549 cells function as a cellular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model for co-infection and seems a good model for elucidating host inflammatory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responses in the initial site of infection.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10.1016/j.tube.2025.102672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40614291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15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>. Sci Immunol. 2025 Jul 4;10(109):eaea0953. doi: 10</w:t>
      </w:r>
      <w:r w:rsidR="00CF2131" w:rsidRPr="00CF2131">
        <w:rPr>
          <w:rFonts w:ascii="宋体" w:eastAsia="宋体" w:hAnsi="宋体" w:cs="宋体"/>
          <w:b/>
          <w:color w:val="FF0000"/>
          <w:szCs w:val="24"/>
        </w:rPr>
        <w:t xml:space="preserve">.1126/sciimmunol.aea0953. Epub 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>2025 Jul 4.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TB or not TB: That depends on the antibody Fc.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Kumar S(1), O'Connor KC(1).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(1)Departments of Neurology and Immunobiology, Yale University School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New Haven, CT,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Fc-swapped variant monoclonal antibodies reveal new mechanisms underlying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Mycobacterium tuberculosis restriction.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10.1126/sciimmunol.aea0953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40614213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 xml:space="preserve">. FEMS Microbiol Ecol. 2025 Jul 4:fiaf072. doi: 10.1093/femsec/fiaf072. Online </w:t>
      </w:r>
    </w:p>
    <w:p w:rsidR="00EA7B5C" w:rsidRPr="00CF2131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CF2131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Genomic Survey Reveals no Detectable Bacteriophage Activity in Mycobacterium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bovis Across a Large Population.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Pinto D(1)(2), Mendes I(1), Cunha MV(1)(3).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(1)Pathogen Biology &amp; Global Health Research Group, Centre for Ecology,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Evolution and Environmental Changes (cE3c) &amp; CHANGE - Global Change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Sustainability Institute, Faculdade de Ciências, Universidade de Lisboa, Lisboa,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Portugal.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(2)Phage Biology Research and Infection Control (PhaBRIC), Research Institute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Medicines (iMed.ULisboa), Faculdade de Farmácia, Universidade de Lisboa,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Lisboa, Portugal.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(3)Biosystems &amp; Integrative Sciences Institute (BioISI), Faculdade de Ciências,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Universidade de Lisboa, Lisboa, Portugal.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Phages are major drivers of bacterial evolution, yet their ecological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evolutionary interactions with Mycobacterium bovis, a key member of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 complex (MTBC), remain understudied. In this work,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investigate the elusive phage-bacterium interface in M. bovis by integrating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comparative genomics of 200 isolates from infected animals with molecular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analyses of M. bovis-positive environmental samples. Despite employing diverse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complementary approaches, we found no evidence of active or recent phage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infections: no novel prophages beyond the conserved phiRv1, no expansion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CRISPR arrays, and no co-occurrence of M. bovis and mycobacteriophages in host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tissues or environmental matrices. Intriguingly, we identified multiple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independent excision events of phiRv1 across closely related lineages,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suggesting recent prophage mobilization driven by unidentified ecological 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genomic triggers. These findings echo previous observations in M.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point toward a stable, phage-scarce landscape across MTBC members. Our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results raise compelling questions about the barriers to phage predation in M.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bovis, the functionality of its CRISPR-Cas system, and the selective pressures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underlying prophage retention and loss. By shedding light on these underexplored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dynamics, our study reveals critical gaps in the ecological understanding of M.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bovis and highlights opportunities for phage-based innovation in TB control.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FEMS.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10.1093/femsec/fiaf072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40613815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17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>. J Dtsch Dermatol Ges. 2025 Jul 4. doi: 10.1111/ddg.15674. 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Recognising cutaneous tuberculosis.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Gramminger C(1), Biedermann T(1).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(1)Clinic and Polyclinic for Dermatology and Allergology at Biederstein,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Technical University of Munich, Munich, Germany.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(TB) continues to be a leading cause of death in many countries,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also remains a significant concern in Germany, particularly due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migration. The diagnosis of rare cutaneous tuberculosis is challenging as it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manifests in various clinical forms that resemble more common dermatological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conditions. Especially in paucibacillary forms, gold-standard diagnostic tests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may yield negative results, complicating the identification of the disease.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Therefore, a strong clinical suspicion based on the clinical presentation 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essential for guiding further or repeated diagnostic evaluations. In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article, we present various forms of cutaneous tuberculosis, using excerpts from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image collection of the Department of Dermatology and Allergy 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Biederstein, Technical University of Munich, to improve clinical recognition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cutaneous TB and raise awareness of this condition also as a potential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differential diagnosis.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 The Author(s). Journal der Deutschen Dermatologischen Gesellschaft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published by John Wiley &amp; Sons Ltd on behalf of Deutsche Dermatologische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Gesellschaft.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10.1111/ddg.15674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40613433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 xml:space="preserve">. Future Med Chem. 2025 Jul 4:1-15. doi: 10.1080/17568919.2025.2525069. Online </w:t>
      </w:r>
    </w:p>
    <w:p w:rsidR="00EA7B5C" w:rsidRPr="00CF2131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CF2131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Exploration of pyrazole-based pyridine-4-carbohydrazide derivatives 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drug-resistant Mtb agents: design, synthesis, biological evaluation,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in-silico studies.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Kumar P(1), Malik P(2), Ali J(2), Saxena D(2), Singampalli A(1), Bandela R(1),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Bellapukonda SM(1), Rajyalakshmi SI(1), Bhale NA(3), Dikundwar AG(3), Nanduri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S(1), Dasgupta A(2)(4), Chopra S(2)(4), Yaddanapudi VM(1).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Chemical Sciences, National Institute of Pharmaceutical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Education and Research (NIPER), Hyderabad,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(2)Division of Microbiology and Immunology, CSIR-Central Drug Research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Institute, Lucknow,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Pharmaceutical Analysis, National Institute of Pharmaceutical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Education and Research (NIPER), Hyderabad,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(4)AcSIR: Academy of Scientific and Innovative Research (AcSIR), Ghaziabad,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Development of new effective drugs against multidrug resistant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 is the need of the hour to combat tuberculosis (TB)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Pyridine-4-carbohydrazide and substituted pyrazole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aldehydes were used to synthesize target molecules (6a-r) which were evaluated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against H37Rv and drug-resistant TB strains. Time kill kinetics assay was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performed to check bactericidal/bacteriostatic effect, molecular docking,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dynamics simulation over 100 ns was performed against enoyl acyl carrier protein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reductase (InhA) along with QSAR, ADMET profile prediction.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All compounds displayed excellent MICs in the range of 0.125-16 µg/mL.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most potent compound, 6q, with an MIC of 0.125 µg/mL showed bactericidal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effect and was effective on ethambutol and streptomycin resistant Mtb strains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an MIC of 0.03 µg/mL and rifampicin resistant Mtb strain with an MIC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0.25 µg/mL.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pyrazole clubbed with pyridine-4-carbohydrazide is a potential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scaffold for further exploration as anti-TB agent.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10.1080/17568919.2025.2525069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40613379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>. J Brown Hosp Med. 2025 Jul 1;4(3):140744. doi: 10.56305/001c.140744</w:t>
      </w:r>
      <w:r w:rsidR="00CF2131" w:rsidRPr="00CF2131">
        <w:rPr>
          <w:rFonts w:ascii="宋体" w:eastAsia="宋体" w:hAnsi="宋体" w:cs="宋体"/>
          <w:b/>
          <w:color w:val="FF0000"/>
          <w:szCs w:val="24"/>
        </w:rPr>
        <w:t xml:space="preserve">. eCollection 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>2025.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Peritoneal Tuberculosis in a Patient on Tumor Necrosis Factor inhibitors: A Case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Report and Review of the Literature.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 S(1), Gogolashvili A(1), Gonzalez-Bocco IH(2)(3), Allard DD(4), Urma D(1),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Altamimi SA(5).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(1)Department of Medicine Mass General Brigham-Salem Hospital.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(2)Division of Infectious Diseases Brigham and Women's Hospital.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(3)Department of Medical Oncology Dana-Farber Cancer Institute.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(4)Department of Family Medicine Mass General Brigham-Salem Hospital.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(5)Department of Infectious Disease Mass General Brigham-Salem Hospital.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Peritoneal tuberculosis (PTB) is a diagnostic challenge due to its nonspecific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presentation, low sensitivity of ascitic fluid microbiologic tests, and possible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resemblance to peritoneal carcinomatosis. We describe a case of 51-year-old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woman with long-term tumor necrosis factor alpha (TNF-α) inhibitor exposure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presented with fever and abdominal distension after returning from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Philippines. Initial tests, including microbiological studies,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inconclusive, despite imaging findings suggestive of carcinomatosis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elevated CA-125. Diagnostic laparoscopy revealed miliary white nodules; however,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omental biopsy showed non-necrotizing granulomas without AFB. High clinical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suspicion prompted excision of an enlarged axillary lymph node, which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demonstrated necrotizing granulomas with rare AFB-positivity and ultimately grew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tuberculosis. The patient experienced rapid symptomatic relief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near-complete radiological resolution within four months of tuberculosis (TB)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treatment. PTB should remain on the differential for unexplained ascites 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peritoneal nodularity - particularly in immunosuppressed travelers from endemic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regions - even when early microbiologic tests are negative. Timely invasive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sampling and, when warranted, empirical anti-TB therapy is critical. Clinicians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must recognize that patients on TNF-α inhibitors remain at heightened risk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extrapulmonary TB despite negative baseline screening.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10.56305/001c.140744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PMC12224322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40612084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>0. BMC Infect Dis. 2025 Jul 3;25(1):891. doi: 10.1186/s12879-025-11284-9.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Genotyping and transmission analysis of Mycobacterium tuberculosis in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pediatric population in Czech Republic and Slovakia.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Mäsiarová S(1), Dvo</w:t>
      </w:r>
      <w:r w:rsidRPr="00EA7B5C">
        <w:rPr>
          <w:rFonts w:ascii="Cambria" w:eastAsia="宋体" w:hAnsi="Cambria" w:cs="Cambria"/>
          <w:color w:val="000000" w:themeColor="text1"/>
          <w:szCs w:val="24"/>
        </w:rPr>
        <w:t>ř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EA7B5C">
        <w:rPr>
          <w:rFonts w:ascii="宋体" w:eastAsia="宋体" w:hAnsi="宋体" w:cs="宋体"/>
          <w:color w:val="000000" w:themeColor="text1"/>
          <w:szCs w:val="24"/>
        </w:rPr>
        <w:t>kov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V(2), Hrom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EA7B5C">
        <w:rPr>
          <w:rFonts w:ascii="宋体" w:eastAsia="宋体" w:hAnsi="宋体" w:cs="宋体"/>
          <w:color w:val="000000" w:themeColor="text1"/>
          <w:szCs w:val="24"/>
        </w:rPr>
        <w:t>dkov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M(2), Norman A(3), Kun</w:t>
      </w:r>
      <w:r w:rsidRPr="00EA7B5C">
        <w:rPr>
          <w:rFonts w:ascii="Cambria" w:eastAsia="宋体" w:hAnsi="Cambria" w:cs="Cambria"/>
          <w:color w:val="000000" w:themeColor="text1"/>
          <w:szCs w:val="24"/>
        </w:rPr>
        <w:t>č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P(4)(5),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Fábry J(4)(5), Hnilicová J(6), Porvazník I(7)(8), Solovi</w:t>
      </w:r>
      <w:r w:rsidRPr="00EA7B5C">
        <w:rPr>
          <w:rFonts w:ascii="Cambria" w:eastAsia="宋体" w:hAnsi="Cambria" w:cs="Cambria"/>
          <w:color w:val="000000" w:themeColor="text1"/>
          <w:szCs w:val="24"/>
        </w:rPr>
        <w:t>č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I(7)(8), Rasmussen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EM(3), Mokrý J(1), Dole</w:t>
      </w:r>
      <w:r w:rsidRPr="00EA7B5C">
        <w:rPr>
          <w:rFonts w:ascii="Cambria" w:eastAsia="宋体" w:hAnsi="Cambria" w:cs="Cambria"/>
          <w:color w:val="000000" w:themeColor="text1"/>
          <w:szCs w:val="24"/>
        </w:rPr>
        <w:t>ž</w:t>
      </w:r>
      <w:r w:rsidRPr="00EA7B5C">
        <w:rPr>
          <w:rFonts w:ascii="宋体" w:eastAsia="宋体" w:hAnsi="宋体" w:cs="宋体"/>
          <w:color w:val="000000" w:themeColor="text1"/>
          <w:szCs w:val="24"/>
        </w:rPr>
        <w:t>alov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K(#)(9), Doh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á</w:t>
      </w:r>
      <w:r w:rsidRPr="00EA7B5C">
        <w:rPr>
          <w:rFonts w:ascii="宋体" w:eastAsia="宋体" w:hAnsi="宋体" w:cs="宋体"/>
          <w:color w:val="000000" w:themeColor="text1"/>
          <w:szCs w:val="24"/>
        </w:rPr>
        <w:t>l M(#)(10).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Pharmacology, Jessenius Faculty of Medicine in Martin, Comenius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University, Bratislava, Slovakia.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(2)National Institute of Public Health, Prague, Czech Republic.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(3)International Reference Laboratory of Mycobacteriology, Statens Serum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Institut, Copenhagen, Denmark.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(4)Clinic of Pediatric Respiratory Diseases and Tuberculosis, National Institute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Pediatric Tuberculosis and Respiratory Diseases, Dolny Smokovec, Jessenius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Faculty of Medicine in Martin, Comenius University, Bratislava, Slovakia.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 of Pathological Physiology, Jessenius Faculty of Medicine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Martin, Comenius University, Bratislava, Slovakia.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Genetics and Microbiology, Faculty of Science, Charles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University, Prague, Czech Republic.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(7)National Institute of Tuberculosis Lung Diseases and Thoracic Surgery, Vyšné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Hágy, Slovakia.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(8)Faculty of Health, Catholic University, Ru</w:t>
      </w:r>
      <w:r w:rsidRPr="00EA7B5C">
        <w:rPr>
          <w:rFonts w:ascii="Cambria" w:eastAsia="宋体" w:hAnsi="Cambria" w:cs="Cambria"/>
          <w:color w:val="000000" w:themeColor="text1"/>
          <w:szCs w:val="24"/>
        </w:rPr>
        <w:t>ž</w:t>
      </w:r>
      <w:r w:rsidRPr="00EA7B5C">
        <w:rPr>
          <w:rFonts w:ascii="宋体" w:eastAsia="宋体" w:hAnsi="宋体" w:cs="宋体"/>
          <w:color w:val="000000" w:themeColor="text1"/>
          <w:szCs w:val="24"/>
        </w:rPr>
        <w:t>omberok, Slovakia.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(9)Department of Paediatrics of the First Faculty of Medicine, Charles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University, Thomayer University Hospital, Prague, Czech Republic.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(10)Biomedical Centre Martin, Jessenius Faculty of Medicine in Martin, Comenius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University, Bratislava, Slovakia. matus.dohal@uniba.sk.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Tuberculosis remains a global health concern, with rising pediatric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adolescent cases. The advancement of diagnostic strategies is crucial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effective control, with whole-genome sequencing emerging as a promising tool.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This study explores using whole-genome sequencing in pediatric Tuberculosis.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Mycobacterium tuberculosis isolates from pediatric patients and their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contacts were collected between January 2023 and June 2024 in Slovakia and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Czech Republic. The isolates were subjected to WGS to characterize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resistance patterns and transmission.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 study included 37 patients in total-30 pediatric cases and 7 adult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index cases-with a single M. tuberculosis isolate collected per patient.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phylogenetic analysis results revealed that 32 out of 37 (86.5%) isolates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belonged to the Euro-American lineage. Five isolates (13.5%) belonged to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East-Asian lineage. Genotypic resistance to at least one drug was confirmed in 6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patients (16%). 24 patients were divided into 9 clusters (65%), leaving 13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unclustered (35%). Moreover, the concordance between the identification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source case by WGS and epidemiological anamnesis was confirmed in 60%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patients.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CF2131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Epidemiological data may not always provide accurate insights into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transmission of TB. Consequently, integrating molecular methods, such 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WGS, is essential to enhance the reliability and precision of epidemiological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analyses.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10.1186/s12879-025-11284-9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PMC12225057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40610922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CF2131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EA7B5C" w:rsidRPr="00CF2131">
        <w:rPr>
          <w:rFonts w:ascii="宋体" w:eastAsia="宋体" w:hAnsi="宋体" w:cs="宋体"/>
          <w:b/>
          <w:color w:val="FF0000"/>
          <w:szCs w:val="24"/>
        </w:rPr>
        <w:t xml:space="preserve">1. Eur J Intern Med. 2025 Jul 2:S0953-6205(25)00269-9. doi: </w:t>
      </w:r>
    </w:p>
    <w:p w:rsidR="00EA7B5C" w:rsidRPr="00CF2131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CF2131">
        <w:rPr>
          <w:rFonts w:ascii="宋体" w:eastAsia="宋体" w:hAnsi="宋体" w:cs="宋体"/>
          <w:b/>
          <w:color w:val="FF0000"/>
          <w:szCs w:val="24"/>
        </w:rPr>
        <w:t>10.1016/j.ejim.2025.06.031. Online ahead of print.</w:t>
      </w:r>
    </w:p>
    <w:p w:rsidR="00EA7B5C" w:rsidRPr="00CF2131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Constrictive pericarditis and tuberculosis: A second look.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Beun AJ(1), Gabrovska M(2), Nasreddine R(3).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Saint-Pierre University Hospital, rue haute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322, 1000 Brussels, Belgium. Electronic address: Bram.beun@stpierre-bru.be.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Saint-Pierre University Hospital, rue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haute 322, 1000 Brussels, Belgium.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Diseases, Saint-Pierre University Hospital, rue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haute 322, 1000 Brussels, Belgium.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10.1016/j.ejim.2025.06.031</w:t>
      </w:r>
    </w:p>
    <w:p w:rsidR="00EA7B5C" w:rsidRPr="00EA7B5C" w:rsidRDefault="007A2B84" w:rsidP="00EA7B5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40610345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7A2B8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EA7B5C" w:rsidRPr="007A2B84">
        <w:rPr>
          <w:rFonts w:ascii="宋体" w:eastAsia="宋体" w:hAnsi="宋体" w:cs="宋体"/>
          <w:b/>
          <w:color w:val="FF0000"/>
          <w:szCs w:val="24"/>
        </w:rPr>
        <w:t>2. Eur Respir J. 2025 Jul 3:2500902. doi: 10.1183/139</w:t>
      </w:r>
      <w:r w:rsidR="007A2B84" w:rsidRPr="007A2B84">
        <w:rPr>
          <w:rFonts w:ascii="宋体" w:eastAsia="宋体" w:hAnsi="宋体" w:cs="宋体"/>
          <w:b/>
          <w:color w:val="FF0000"/>
          <w:szCs w:val="24"/>
        </w:rPr>
        <w:t xml:space="preserve">93003.00902-2025. Online ahead </w:t>
      </w:r>
      <w:r w:rsidR="00EA7B5C" w:rsidRPr="007A2B84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Risk of rifampin resistance emergence after incomplete first-line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Dupuis GN(1), Dolynska M(2), Chiang SS(3)(4), Horsburgh CR Jr(1)(5), Stagg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HR(6), Rybak NR(7), Petrenko V(8), Jenkins HE(1).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Biostatistics, Boston University School of Public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Boston,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(2)NGO Infection Control Ukraine, Kyiv, Ukraine.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Pediatrics, Warren Alpert Medical School of Brown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Providence, Rhode Island,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(4)Center for International Health Research, Rhode Island Hospital, Providence,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Rhode Island,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(5)Departments of Epidemiology, Global Health, and Medicine, Boston University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Schools of Public Health and Medicine, Boston,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Infectious Disease Epidemiology, London School of Hygiene &amp;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Tropical Medicine, London, UK jenkins.helen@gmail.com.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Medicine, Warren Alpert Medical School of Brown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Providence, Rhode Island,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(8)Bogomolets National Medical University, Kyiv, Ukraine.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10.1183/13993003.00902-2025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40610055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7A2B8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EA7B5C" w:rsidRPr="007A2B84">
        <w:rPr>
          <w:rFonts w:ascii="宋体" w:eastAsia="宋体" w:hAnsi="宋体" w:cs="宋体"/>
          <w:b/>
          <w:color w:val="FF0000"/>
          <w:szCs w:val="24"/>
        </w:rPr>
        <w:t>3. Eur Respir J. 2025 Jul 3:2500992. doi: 10.1183/13993003.00992-2025. On</w:t>
      </w:r>
      <w:r w:rsidR="007A2B84" w:rsidRPr="007A2B84">
        <w:rPr>
          <w:rFonts w:ascii="宋体" w:eastAsia="宋体" w:hAnsi="宋体" w:cs="宋体"/>
          <w:b/>
          <w:color w:val="FF0000"/>
          <w:szCs w:val="24"/>
        </w:rPr>
        <w:t xml:space="preserve">line ahead </w:t>
      </w:r>
      <w:r w:rsidR="00EA7B5C" w:rsidRPr="007A2B84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Post Tuberculosis Lung Disease: questions and answers.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Migliori GB(1), Centis R(2), D'Ambrosio L(3), Rossato Silva D(4), Podlekareva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D(5)(6), Schaaf HS(7).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(1)Servizio di Epidemiologia Clinica delle Malattie Respiratorie, Istituti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Clinici Scientifici Maugeri IRCCS, Tradate, Italy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giovannibattista.migliori@icsmaugeri.it.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(2)Servizio di Epidemiologia Clinica delle Malattie Respiratorie, Istituti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Clinici Scientifici Maugeri IRCCS, Tradate, Italy.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(3)Public Health Consulting Group, Lugano, Switzerland.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(4)Faculdade de Medicina, Universidade Federal do Rio Grande do Sul (UFRGS),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Porto Alegre,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 of Respiratory Medicine and Infectious Diseases, Copenhagen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Hospital, Bispebjerg, Denmark.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(6)International Reference Laboratory of Mycobacteriology, Statens Serum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Institut, Copenhagen, Denmark.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(7)Desmond Tutu TB Centre, Department of Paediatrics and Child Health, Faculty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Medicine and Health Sciences, Stellenbosch University, Cape Town, South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10.1183/13993003.00992-2025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40610051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4. Hum Vaccin Immunother. 2025 Dec;21(1):2521190. doi: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10.1080/21645515.2025.2521190. Epub 2025 Jul 3.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Unleashing the power of the BCG vaccine in modulating viral immunity through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heterologous protection: A scoping review.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Campelo TA(1), Oliveira NS(1), Souza PFN(2)(3)(4)(5), de-Oliveira DFG(1), Frota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CC(1), Antas PRZ(1)(6).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(1)Programa de Pós-graduação em Patologia, Faculdade de Medicina, Universidade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Federal do Ceará, Fortaleza,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(2)Laboratory of Pharmacogenetics, Center for Drug Research and Development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(NPDM), Universidade Federal do Ceará, Fortaleza,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(3)Laboratory of Bioinformatics Applied to Human Health, Center for Drug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Research and Development (NPDM), Universidade Federal do Ceará, Fortaleza,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(4)National Institute of Science and Technology in Human Pathogenic Fungi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(FunVir), Ribeirão Preto,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(5)Visiting Researcher at the Cearense Foundation to Support Scientific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Technological Development (FUNCAP), Fortaleza,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(6)Fundação Oswaldo Cruz-Fiocruz, Rio de Janeiro,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Bacillus Calmette-Guérin (BCG) vaccine, used against tuberculosis for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century, shows promise in protecting against viral infections through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trained/innate immunity. This review maps clinical and preclinical studies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both parental (WT) and recombinant BCG (rBCG) against 17 common viruses. From 68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studies, BCG strains were found to enhance innate immune responses by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reprogramming myeloid cells, leading to stronger responses to related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infections. Sixteen rBCG candidates expressed viral antigens, activating CD4+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CD8+ T cells, and stimulating antibody production specific to the viral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antigens. However, challenges like genetic stability and varied efficacy among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BCG strains remain. The review highlights the potential of BCG, especially rBCG,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 a multivalent vaccine platform for immunization campaigns, with significant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public health implications. More translational studies and clinical trials are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needed to confirm these findings.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10.1080/21645515.2025.2521190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40610004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PLoS One. 2025 Jul 3;20(7):e0326324. doi: 10.1371/journal.pone.0326324.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Breaking barriers for TB elimination: A novel community-led strategy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revolutionizing tuberculosis case finding and treatment support in Senapati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District Manipur-A quasi-experimental pre-post study protocol.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 A(1), S S(2), K N(1), M M(1), B W(1), L M(3), Sk M(4), V E(5), Ws S(3), 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N(1), A N(1), Kt L(1), T S(3), P P(6), D N(1), Anand S V(1), Rk E(7), Ps M(8),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Rn H(9), P Y(8), S P(6), C PP(1), H K(2).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(1)ICMR-National Institute for Research in Tuberculosis, Chennai,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(2)Indian Council of Medical Research Headquarters, New Delhi,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(3)National TB Elimination Programme, Manipur,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(4)Central TB Division, New Delhi,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(5)Regional Institute of Medical Science, Imphal,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(6)Directorate of Health Services, Manipur,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(7)National Health Mission, Manipur,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(8)Senapati District Student Association, Manipur,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(9)Senapati District Women Association, Manipur,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INTRODUCTION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: Despite being the world's highest tuberculosis (TB) burden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country, India still misses millions of TB cases annually. To address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issue, the India National Strategic Plan, following WHO strategy, promotes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combining active case finding (ACF) with passive case finding (PCF) activities.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National TB Elimination Programme (NTEP) began ACF campaigns thrice a year,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targeting vulnerable populations. However, states like Manipur faced challenges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 implementing and sustaining ACF activities due to resource constraints.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lastRenderedPageBreak/>
        <w:t>OBJECTIVE: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To assess the impact of engaging student and women organizations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(SAWOs) in improving TB case notifications, treatment adherence, and completion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rate in NTEP, as well as to estimate the cost-effectiveness of the ACF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intervention.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 quasi-experimental pre-post study is being conducted among individuals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 xml:space="preserve">≥15 years residing in Senapati District, Manipur, having two phases: preparatory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enhanced case finding and implementation of the ACF. Data is being collected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compared on TB case notification, treatment adherence, and outcomes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beforeand after the intervention. Chi-square test will be used to test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statistical significance and logistic regression to identify the factors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independently associated with the impact of intervention. Potential confounders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at both patient and facility levels will be identified based on expert opinion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bivariate analysis. A multi-level logistic regression model will be used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control the confounding, with sensitivity analysis to ensure result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robustness.Cost analysis will cover direct, indirect, medical, and non-medical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costs for patients and health system. Incremental cost-effectiveness ratio per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quality-adjusted life years gained will be evaluated.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This study introduces a novel community-led model involving SAWOsto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improve TB case detection and treatment support, comprehensively addressing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allfour pillars of 'END TB' strategy. The intervention is a community-based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participatory research, emphasizing collaboration between researchers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andcommunity to address TB control. The main activities of this intervention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include community TB sensitization, ECF, ACF, treatment support and monitoring.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This model could significantly impact TB control efforts, especially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resource-constrained settings like Manipur, offering valuable insights into ACF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implementation and its economic implications.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Copyright: © 2025 A et al. This is an open access article distributed under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terms of the Creative Commons Attribution License, which permits unrestricted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use, distribution, and reproduction in any medium, provided the original author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source are credited.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10.1371/journal.pone.0326324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PMC12225811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40608799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Rev Saude Publica. 2025 Jun 30;59:e11. doi: 10.11606/s1518-8787.2025059006489.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Spatial clusters of risk and cartography of care for drug-resistant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Ballestero JGA(1), Silva Júnior JNB(1), Arroyo LH(1), Pelissari DM(2), Rigolin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IZ(1), Palha PF(1), Monroe AA(1), Ferreira QR(1), Leal GDC(1), Teixeira LO(1),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Costa YBD(1), Pinto IC(1), Andrade RLP(1), Arcêncio RA(1).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(1)Universidade de São Paulo. Escola de Enfermagem de Ribeirão Preto. Ribeirão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Preto, SP, Brasil.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(2)Universidade de São Paulo. Faculdade de Saúde Pública. São Paulo, SP, Brasil.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 identify spatial clusters of risk and map the care network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people with drug-resistant tuberculosis in the state of São Paulo.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This is an ecological study, carried out by collecting data from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Special Tuberculosis Treatment Information System (Site-TB) of people treated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drug-resistant tuberculosis from 2013 to 2020, in the state of São Paulo.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Mapping was carried out using Kernel and scan statistic techniques.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1,084 cases were reported in the period analyzed. São Paulo, Ribeirão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Preto, Santos, Guarulhos, and Campinas were the municipalities with the highest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number of cases. The spatial pattern of agglomeration of cases and referral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centers for treatment were similar, with gaps in coverage in the southwest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northwest of the state. Six spatial clusters were identified: four low-risk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two high-risk, located in São Paulo, Diadema, Santos, and Guarujá.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 concentration of cases and tertiary referral centers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metropolitan areas highlights inequalities in access to treatment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drug-resistant tuberculosis. These findings indicate the need for health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policies to expand diagnosis and treatment, improving the control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drug-resistant tuberculosis in the state of São Paulo.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10.11606/s1518-8787.2025059006489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PMC12211794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40608609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Acta Pharm. 2025 Jul 3;75(2):185-218. doi: 10.2478/acph-2025-0016. Print 2025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Jun 1.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Development and evaluation of novel InhA inhibitors inspired by thiadiazole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tetrahydropyran series of inhibitors.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Rambaher MH(1), Gradišek N(1), Frlan R(1), Sosi</w:t>
      </w:r>
      <w:r w:rsidRPr="00EA7B5C">
        <w:rPr>
          <w:rFonts w:ascii="Cambria" w:eastAsia="宋体" w:hAnsi="Cambria" w:cs="Cambria"/>
          <w:color w:val="000000" w:themeColor="text1"/>
          <w:szCs w:val="24"/>
        </w:rPr>
        <w:t>č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I(1), Bolje A(1), Kljun J(2),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Juhás M(1)(3)(4), Gobec S(1), Pajk S(1).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(1)1University of Ljubljana, Faculty of Pharmacy, 1000 Ljubljana, Slovenia.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(2)2University of Ljubljana, Faculty of Chemistry and Chemical Technology, 1000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Ljubljana, Slovenia.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(3)3Charles University, Faculty of Pharmacy in Hradec Králové, 500 05 Hradec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Králové Czech Republic.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(4)4University of Hradec Králové, Faculty of Science, 500 03 Hradec Králové,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Czech Republic.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tuberculosis, remains a leading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global health challenge, exacerbated by the emergence of multidrug-resistant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(MDR) and extensively drug-resistant (XDR) strains. One promising therapeutic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target is the enzyme enoyl-acyl carrier protein reductase (InhA), which plays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vital role in the biosynthesis of mycolic acids, essential components of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bacterial cell wall. Direct inhibition of InhA offers a potential strategy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overcoming resistance mechanisms, particularly in cases where the activation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conventional drugs like isoniazid is compromised. This study investigates two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novel series of InhA inhibitors based on thiadiazole and tetrahydropyran lead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compounds, originally identified through high-throughput screening by GSK.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Analogues were synthesised using the copper-catalysed azide-alkyne cycloaddition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(CuAAC) click reaction, and their inhibitory activity was tested against InhA.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Among the tested compounds, only one exhibited modest inhibitory activity,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 IC 50 of 11 µmol L-1, while others were inactive. Interestingly, during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synthetic efforts, a novel reaction was discovered between aryl methyl ketones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ethynylmagnesium bromide, yielding 1,3-diols, as confirmed by X-ray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diffraction analysis. These findings underscore the challenges of optimising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InhA inhibitors and highlight the potential of synthetic innovations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exploring new synthetic pathways.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 Martina Hrast Rambaher et al., published by Sciendo.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10.2478/acph-2025-0016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40608557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Appl Biochem Biotechnol. 2025 Jul 3. doi: 10.1007/s12010-025-05299-w. Online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Molecular Cloning, Optimization of Expression and Functional Characterization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Global Transcriptional Regulator MosR (Rv0348) of Mycobacterium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Singh D(1), Eb RR(1), Bandhu A(2).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Biotechnology, National Institute of Technology Warangal,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Warangal, 506004, Telangana,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Biotechnology, National Institute of Technology Warangal,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Warangal, 506004, Telangana, India. bandhuam@nitw.ac.in.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In-vivo microarray analysis on murine model of Tuberculosis had identified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novel transcriptional regulator MosR, which regulates the expression of ~ 163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genes, many of which are important for intracellular persistence of dormant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tuberculosis. MosR therefore, may be considered as potential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target for anti-tuberculosis drug discovery. In this work, this important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regulator has been cloned, expressed, purified to homogeneity, and characterized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 some extent. MosR is found to cooperatively bind within the ORF of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previous gene rv0347. The environmental conditions for most favorable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interaction between MosR and its cognate DNA are determined to be 8.0 pH, 25 mM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 xml:space="preserve">NaCl, and 25 ℃ temperature. The equilibrium dissociation constant (Kd)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MosR-DNA interaction is determined to be 0.23 ± 0.02 µM under the optimized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conditions. MosR is composed of mostly α-helices w</w:t>
      </w:r>
      <w:r w:rsidR="00F979E0">
        <w:rPr>
          <w:rFonts w:ascii="宋体" w:eastAsia="宋体" w:hAnsi="宋体" w:cs="宋体"/>
          <w:color w:val="000000" w:themeColor="text1"/>
          <w:szCs w:val="24"/>
        </w:rPr>
        <w:t xml:space="preserve">ith minor β-sheets and β-turns </w:t>
      </w:r>
      <w:r w:rsidRPr="00EA7B5C">
        <w:rPr>
          <w:rFonts w:ascii="宋体" w:eastAsia="宋体" w:hAnsi="宋体" w:cs="宋体"/>
          <w:color w:val="000000" w:themeColor="text1"/>
          <w:szCs w:val="24"/>
        </w:rPr>
        <w:t>as major secondary structural elements. Interestin</w:t>
      </w:r>
      <w:r w:rsidR="00F979E0">
        <w:rPr>
          <w:rFonts w:ascii="宋体" w:eastAsia="宋体" w:hAnsi="宋体" w:cs="宋体"/>
          <w:color w:val="000000" w:themeColor="text1"/>
          <w:szCs w:val="24"/>
        </w:rPr>
        <w:t xml:space="preserve">gly, MosR is found to harbor a </w:t>
      </w:r>
      <w:r w:rsidRPr="00EA7B5C">
        <w:rPr>
          <w:rFonts w:ascii="宋体" w:eastAsia="宋体" w:hAnsi="宋体" w:cs="宋体"/>
          <w:color w:val="000000" w:themeColor="text1"/>
          <w:szCs w:val="24"/>
        </w:rPr>
        <w:t>highly conserved homeodomain and a long N-termin</w:t>
      </w:r>
      <w:r w:rsidR="00F979E0">
        <w:rPr>
          <w:rFonts w:ascii="宋体" w:eastAsia="宋体" w:hAnsi="宋体" w:cs="宋体"/>
          <w:color w:val="000000" w:themeColor="text1"/>
          <w:szCs w:val="24"/>
        </w:rPr>
        <w:t xml:space="preserve">al arm which might be involved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binding to specific DNA, supported by the predicted three-dimensional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structure. The tertiary structure of MosR is found to be stable under different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pH and salt concentrations while secondary structure undergoes distinct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conformational changes. MosR is unable to maintain its structure and DNA-binding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 xml:space="preserve">activity at a temperature more than 35 ℃ and forms microaggregate in solution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which suggests that it is a moderately thermosensitive protein. These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information would be useful for in-vitro screening and validations of inhibitors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against MosR in a high throughput manner.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Science+Business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Media, LLC, part of Springer Nature.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10.1007/s12010-025-05299-w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40608257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Clin Pharmacokinet. 2025 Jul 3. doi: 10.1007/s40262-025-01537-w. Online </w:t>
      </w:r>
      <w:r w:rsidR="00F979E0" w:rsidRPr="00F979E0">
        <w:rPr>
          <w:rFonts w:ascii="宋体" w:eastAsia="宋体" w:hAnsi="宋体" w:cs="宋体"/>
          <w:b/>
          <w:color w:val="FF0000"/>
          <w:szCs w:val="24"/>
        </w:rPr>
        <w:t xml:space="preserve">ahead of 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Rifampicin Exposure in Tuberculosis Patients with Comorbidities in Sub-Saharan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Africa: Prioritising Populations for Treatment-A Systematic Review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Meta-analysis.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Said B(1)(2), Pétermann Y(3), Howlett P(4), Guidi M(5)(6)(7), Thoma Y(8),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Kajogoo VD(9), Sariko M(10), Heysell SK(11), Alffenaar JW(12)(13)(14), Mpolya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E(1), Mpagama S(2).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Health and Biomedical Sciences, School of Life Sciences, Nelson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Mandela African Institution of Science and Technology (NM-AIST), Arusha,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(2)Kibong'oto Infectious Diseases Hospital, Mae, Sanya Juu, Siha Kilimanjaro,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Tanzania.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(3)Center for Research and Innovation in Clinical Pharmaceutical Sciences,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Lausanne University Hospital and University of Lausanne, Lausanne, Switzerland.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(4)National Heart and Lung Institute, Imperial College London, Guy Scadding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Building, Cale Street, London, SW3 6LY,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(5)Center for Research and Innovation in Clinical Pharmaceutical Sciences,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Lausanne University Hospital and University of Lausanne, Lausanne, Switzerland.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Monia.Guidi@chuv.ch.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(6)Service of Clinical Pharmacology, Lausanne University Hospital and University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of Lausanne, Lausanne, Switzerland. Monia.Guidi@chuv.ch.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(7)Institute of Pharmaceutical Sciences of Western Switzerland,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Geneva, University of Lausanne, Geneva and Lausanne, Switzerland.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Monia.Guidi@chuv.ch.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(8)School of Engineering and Management Vaud, HES-SO University of Applied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Sciences and Arts Western Switzerland, 1401, Yverdon-les-Bains, Switzerland.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(9)Department of Clinical Trials, Tanzania Diabetes Association, P.O. Box 65201,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Dar-es-salaam, Tanzania.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(10)Kilimanjaro Clinical Research Institute, P.O. Box 2236, Moshi, Tanzania.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(11)Division of Infectious Diseases and International Health,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Virginia, Charlottesville, VA,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(12)School of Pharmacy, Faculty of Medicine and Health, University of Sydney,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Sydney, NSW, Australia.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(13)The University of Sydney Infectious Diseases Institute,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Sydney, Sydney, NSW, Australia.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(14)Department of Pharmacy, West mead Hospital, Sydney, NSW, Australia.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BACKGROUND AND OBJECTIVES: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Emerging evidence suggests that comorbidities like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human immunodeficiency virus (HIV) infection, diabetes mellitus (DM),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malnutrition in tuberculosis (TB) patients can alter drug concentrations,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thereby affecting the treatment outcomes. For these populations, personalised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strategies such as therapeutic drug monitoring (TDM) may be essential.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investigated the variations of drug levels within comorbid populations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analysed the differences in patterns observed between sub-Saharan Africa (SSA)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non-SSA regions.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performed a systematic review and meta-analysis of rifampicin drug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pharmacokinetics (PK) through searches of major databases from 1980 to December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2023. A random-effects meta-analysis model using R-studio version 4.3.2 was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conducted to estimate pooled serum rifampicin exposure (area under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concentration-time curve [AUC], and peak maximum concentration [Cmax]) between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patients with TB-HIV infection, and TB-DM.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From 3300 articles screened, 24 studies met inclusion criteria,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contributing 33 comorbidity subgroups for meta-analysis. In SSA, 14 subgroups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assessed rifampicin PK in TB-HIV, 1 in TB-DM, and none in TB-malnutrition.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pooled mean Cmax was below the recommended range (8-24 mg/L) for all subgroups.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For TB-HIV, the pooled Cmax was 5.59 mg/L, 95% CI (4.59-6.59), I2 = 97% for SSA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populations and 5.59 mg/L, 95% CI (3.65; 6.59) for non-SSA populations. The Cmax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TB-DM in SSA (9.60 ± 4.4 mg/L) exceeded non-SSA (4.27 mg/L, 95% CI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[2.77-5.76]). The lowest AUC was in TB-HIV (SSA, 29.09 mg/L h, 95% CI [21.06;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37.13, I2 = 91%]). High variability and heterogeneity (I2 &gt;90%) were observed,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with most studies (20/23) showing low bias.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Our results emphasise the need for individualised dosing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targeted TDM implementation among TB-HIV and TB-DM populations on rifampicin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SSA. Although all populations exhibited low Cmax levels, TB-HIV populations may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 prioritised as AUC levels were lowest. In clinical settings in SSA,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Cmax-based TDM is more practical, but AUC can be used in treatment where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feasible.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10.1007/s40262-025-01537-w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40608197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30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>. Curr Microbiol. 2025 Jul 3;82(8):361. doi: 10.1007/s00284-025-04341-8.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Proteomic Analysis of Drug-Resistant Mycobacterium tuberculosis Clinical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Isolates Under Aminoglycoside Drug Pressure.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Kumar B(1), Sharma D(2)(3), Venkatesan K(1), Bisht D(4).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Biochemistry, ICMR-National JALMA Institute for Leprosy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Other Mycobacterial Diseases, Agra,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Biochemistry, ICMR-National JALMA Institute for Leprosy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Other Mycobacterial Diseases, Agra, India. divakarsharma88@gmail.com.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Biotechnology, Graphic Era (Deemed to Be) University, Dehradun,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248002, India. divakarsharma88@gmail.com.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Biochemistry, ICMR-National JALMA Institute for Leprosy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Other Mycobacterial Diseases, Agra, India. abd1109@rediffmail.com.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Pharmacoproteomics enables the actual status of the drug-induced conditions 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protein level. Aminoglycosides have been a major component of second-line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anti-TB therapy and with a well-known mechanism to inhibit protein synthesis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bacteria by interacting with several steps of the translational process.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Researchers suggested the benefit of treating antibiotic-resistant M.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strains with the same antibiotics at an effective and safe level.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this study, we analyzed the pharmaco-proteomic effects of aminoglycosides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eight drug-resistant clinical isolates by 2DE coupled with MALDI-TOF MS.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Further, bioinformatics tools have been employed to characterize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protein-antibiotic interactions. This study revealed that nine proteins showed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consistently increased intensities under drug pressure. 60 kDa chaperonin1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(Rv3417c) is a heat shock protein (Hsp) that plays a key role in the survival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bacilli under stress conditions. Elongation factor Tu (Rv0685) promotes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GTP-dependent binding of aminoacyl-tRNA to the A-site of the ribosome during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protein biosynthesis. Dihydrolipoyl dehydrogenase (Rv0462) is involved in energy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metabolism. Ribosome recycling factor Rv2882c is responsible for increasing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efficiency of translation by recycling ribosomes from one round of translation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 another. Proteasome subunit beta (Rv2110c) is involved in protein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degradation. Antigen 85-A precursor (Rv3804c) is involved in cell-wall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mycoloylation. Three proteins (Rv2623, Rv3389c, and Rv2744c) were identified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unknown functions. Overexpressed proteins and pathways could be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directly/indirectly involved in aminoglycoside resistance. Bioinformatics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revealed that three proteins of unknown functions showed good binding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aminoglycosides, suggesting their direct/indirect role in resistance, and need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further exploration.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Science+Business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Media, LLC, part of Springer Nature.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10.1007/s00284-025-04341-8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40608075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31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IJU Case Rep. 2025 May 28;8(4):419-422. doi: 10.1002/iju5.70057. eCollection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2025 Jul.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Combination of Neoadjuvant Gemcitabine-Cisplatin and Anti-Tuberculosis Therapy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a Patient With Muscle-Invasive Bladder Cancer and Renal Granulomatosis That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Progressed After Intravesical Bacillus Calmette-Guérin Therapy.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Tsumori T(1), Hoshi S(1), Yaginuma K(1), Meguro S(1), Matsuoka K(1), Hata J(1),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Sato Y(1), Akaihata H(1), Ogawa S(1), Kojima Y(1).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Urology Fukushima Medical University School of Medicine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Fukushima Japan.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 case of muscle-invasive bladder cancer and renal granulomatosis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that developed after intravesical Bacillus Calmette-Guérin therapy, in which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combination of neoadjuvant gemcitabine-cisplatin and anti-tuberculosis therapy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was safely administered, and radical cystectomy was ultimately performed, 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reported.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CASE PRESENTATION: A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64-year-old man with non-muscle-invasive bladder cancer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underwent transurethral resection and intravesical Bacillus Calmette-Guérin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therapy every time bladder cancer recurred. However, the patient developed left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renal granulomatosis during treatment. Anti-tuberculosis therapy was prioritized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since there was no bladder cancer progression. However, local bladder cancer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progression was observed during the anti-tuberculosis therapy. To successfully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cure the renal granulomatosis and suppress tumor progression, neoadjuvant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gemcitabine-cisplatin was combined with anti-tuberculosis therapy for 2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months,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followed by radical cystectomy. There were no gemcitabine-cisplatin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complications and no renal granulomatosis recurrence during combination therapy.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Combination of gemcitabine-cisplatin and anti-tuberculosis therapy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was possible for a patient with bladder cancer when Bacillus Calmette-Guérin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infection was under control.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 The Author(s). IJU Case Reports published by John Wiley &amp; Sons Australia,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Ltd on behalf of Japanese Urological Association.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10.1002/iju5.70057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PMC12212942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40607477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Open Forum Infect Dis. 2025 Jun 11;12(7):ofaf347. doi: 10.1093/ofid/ofaf347.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Social Vulnerability Modifies the Effects of Geographic Proximity on Engagement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Latent Tuberculosis Infection Care in a United States Safety Net Healthcare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Network.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Campbell JI(1), Garing A(1), Lavache D(1), Bahad S(2), Hofman M(3), Haberer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JE(4)(5), Brooks MB(6), Sinha P(7), White LF(8), Sabharwal V(1), Tschampl CA(9),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Horsburgh CR Jr(10)(11), Jenkins HE(8), Jacobson KR(11).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(1)Section of Pediatric Infectious Diseases, Boston Medical Center, Boston,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(2)Boston University Chobanian and Avedisian School of Medicine, Boston,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(3)Research Informatics, Boston Medical Center, Boston, 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(4)Center for Global Health, Massachusetts General Hospital, Boston,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(5)Harvard Medical School, Boston, 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Global Health, Boston University School of Public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Boston, 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(7)Section of Infectious Diseases, Boston Medical Center, Boston, Massachusetts,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(8)Department of Biostatistics, Boston University School of Public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Boston, 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(9)The Heller School for Social Policy and Management, Brandeis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Waltham, 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(10)Departments of Epidemiology, Biostatistics and Global Health, Boston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School of Public Health, Boston, 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(11)Section of Infectious Diseases, Boston Medical Center, Boston University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Chobanian and Avedisian School of Medicine, Boston, Massachusetts,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Latent tuberculosis (TB) infection care often requires engagement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multiple teams in several locations throughout the diagnostic and treatment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steps of the TB infection care cascade. The intersecting effects of geographic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proximity and social drivers on care cascade retention have not been well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examined.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conducted a retrospective cohort study of patients with a positive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TB infection test between 2018-2019 within a health system in Boston,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Massachusetts. The primary outcome was attendance at a TB clinic after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referral was placed. The primary exposure was geographic proximity, as measured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by travel time by car. We assessed effect modification of proximity by Social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Vulnerability Index (SVI), a composite measure of census tract social drivers.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identified 1677 patients with positive TB infection tests; 1208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(72%) were referred to a TB clinic, of whom 748 (62%) completed referral. Longer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travel times were associated with lower odds of referral completion (furthest vs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nearest quartiles: adjusted odds ratio, 0.76 [95% confidence interval,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.71-.82]). SVI significantly modified the effects of proximity: Increasing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travel time was associated with decreasing probability of clinic attendance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patients in lower-vulnerability census tracts but had minimal effect on clinic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attendance among patients in higher vulnerability census tracts.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Additional support is needed for individuals referred to TB clinics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that require long travel times to attend. Support should also account for other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social drivers affecting care access for those living near TB clinics.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10.1093/ofid/ofaf347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PMC12216903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40606058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>. J Infect Dis. 2025 Jul 3:jiaf354. doi: 10.1093/i</w:t>
      </w:r>
      <w:r w:rsidR="00F979E0" w:rsidRPr="00F979E0">
        <w:rPr>
          <w:rFonts w:ascii="宋体" w:eastAsia="宋体" w:hAnsi="宋体" w:cs="宋体"/>
          <w:b/>
          <w:color w:val="FF0000"/>
          <w:szCs w:val="24"/>
        </w:rPr>
        <w:t xml:space="preserve">nfdis/jiaf354. Online ahead of 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Single-cell transcriptomics reveals depletion and dysregulation of Mycobacterium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tuberculosis-specific Th1 and Th17 cells early after acquisition of HIV.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Pearson RA(1)(2), Krish KN(1)(2), Whatney WE(1)(2), Jaoko W(3), Mandaliya K(4),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Overbaugh J(5), Graham SM(6)(7)(8), McClelland RS(6)(7)(8), Hicks SL(1), Maurer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J(1), Scharer CD(1), Day CL(1)(2).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Microbiology &amp; Immunology, Emory University School of Medicine,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Atlanta, GA,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(2)Emory Vaccine Center, Emory University, Atlanta, GA,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Medical Microbiology &amp; Immunology, University of Nairobi,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Nairobi, Kenya.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(4)PathCare Laboratories, Mombasa, Kenya.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(5)Division of Human Biology, Fred Hutch Cancer Center, Seattle, WA,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(6)Department of Epidemiology, University of Washington, Seattle, WA,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(7)Department of Global Health, University of Washington, Seattle, WA,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(8)Department of Medicine, University of Washington, Seattle, WA,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HIV significantly increases the risk of developing tuberculosis (TB) and 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associated with impaired CD4 T cell responses to Mycobacterium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(Mtb). We evaluated the frequency and functional capacity of Mtb-specific CD4 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cells in individuals with and without HIV using flow cytometry and performed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single-cell RNA sequencing on these cells longitudinally in a subset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individuals before and after acquisition of HIV. Our findings reveal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preferential depletion and functional impairment of Mtb-specific CD4 T cells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early after acquisition of HIV, characterized by reduced cytokine production,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loss of effector functions, and transcriptional dysregulation. Mtb-specific Th1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Th17 cells decreased, whereas TCF7+ stem-like cells were enriched following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acquisition of HIV. Pathway analysis revealed upregulation of hypoxia and WNT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signaling, and downregulation of cell adhesion, migration, antigen processing,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cytokine signaling pathways. These findings provide novel insights into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HIV-mediated dysregulation of CD4 T cell responses to Mtb.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10.1093/infdis/jiaf354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40605619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>. BMC Public Health. 2025 Jul 2;25(1):2260. doi: 10.1186/s12889-025-23491-9.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Impact of the COVID-19 pandemic on unfavorable tuberculosis outcomes: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comparative analysis of unhoused and general populations.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da Silva Campana P(1), da Silva ATC(2), Klautau GB(2), Rujula MJP(2), Salles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MJ(2)(3), de Castro MC(4).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(1)Faculdade de Ciências Médicas da Santa Casa de São Paulo, R. Dr. Cesário Mota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Júnior, 61 - Vila Buarque, São Paulo, 01225-070, SP, Brasil.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pedro.campana@fcmsantacasasp.edu.br.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(2)Faculdade de Ciências Médicas da Santa Casa de São Paulo, R. Dr. Cesário Mota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Júnior, 61 - Vila Buarque, São Paulo, 01225-070, SP, Brasil.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(3)Laboratório Especial de Microbiologia Clínica, Universidade Federal de São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Paulo, R. Sena Madureira, 1500 - Vila Clementino, São Paulo, 04021-001, SP,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Brasil.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(4)Harvard T.H. Chan School of Public Health, 677 Huntington Ave, Boston, MA,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02115, USA.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care has been seriously affected by the COVID-19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pandemic. Few studies have assessed the impact of the pandemic on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outcomes in vulnerable populations. We aimed to evaluate tuberculosis outcomes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before and during the pandemic in general and in unhoused populations in São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Paulo,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performed a retrospective cohort study that compared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outcomes between the unhoused and general populations using data from 2017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2019 and 2020 to 2022. Unfavorable outcomes were defined as loss to follow-up,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failure, death, toxicity, and resistance to drugs. Cox regression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models and Kaplan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‒</w:t>
      </w:r>
      <w:r w:rsidRPr="00EA7B5C">
        <w:rPr>
          <w:rFonts w:ascii="宋体" w:eastAsia="宋体" w:hAnsi="宋体" w:cs="宋体"/>
          <w:color w:val="000000" w:themeColor="text1"/>
          <w:szCs w:val="24"/>
        </w:rPr>
        <w:t>Meier curves were used to evaluate the data.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: Among 47,293 patients diagnosed with tuberculosis using the National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Notifiable Diseases Information System (SINAN) between January 1, 2017,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December 31, 2021, 29,247 patients were included in our study. Patients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diagnosed with TB during the pandemic were more likely to have unfavorable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outcomes in the general population (hazard ratio [HR], 1.45, [95% confidence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interval (CI), 1.37 to 1.55], p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&lt;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0.001), but not in the unhoused population.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Patients with lost to follow-up (HR, 1.42, 95% CI 1.21-1.66, p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&lt;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0.001) 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hospitalized (HR, 1.50, 95%CI 1.29-1.74, p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&lt;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0.001) were more likely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experience unfavorable outcomes in the unhoused population.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In conclusion, during the pandemic of COVID-19 period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care was not affected in the specific unhoused population but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rather affected the general population in the largest city of São Paulo,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10.1186/s12889-025-23491-9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PMC12219442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PMID: 40604738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Lancet Public Health. 2025 Jul;10(7):e588-e598. doi: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10.1016/S2468-2667(25)00120-3.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Sex differences in the risk of Mycobacterium tuberculosis infection: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systematic review and meta-analysis of population-based immunoreactivity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surveys.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Rickman HM(1), Phiri MD(2), Feasey HRA(3), Krutikov M(4), Shao H(5), Horton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KC(6), Dowdy DW(7), Nightingale ES(6), Dodd PJ(8), Corbett EL(9), MacPherson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P(9).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(1)Clinical Research Department, London School of Hygiene &amp; Tropical Medicine,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London, UK; Malawi Liverpool Wellcome Programme, Blantyre, Malawi. Electronic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address: hannah.rickman@lshtm.ac.uk.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(2)Malawi Liverpool Wellcome Programme, Blantyre, Malawi; Department of Clinical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Sciences, Liverpool School of Tropical Medicine, Liverpool,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(3)Clinical Research Department, London School of Hygiene &amp; Tropical Medicine,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London, UK; Malawi Liverpool Wellcome Programme, Blantyre, Malawi; School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University of St Andrews, St Andrews,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(4)Institute of Health Informatics, University College London, London, UK;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Department of Global Health and Infection, Brighton &amp; Sussex Medical School,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Brighton,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(5)School of Health &amp; Wellbeing, University of Glasgow, Glasgow,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Infectious Disease Epidemiology, London School of Hygiene &amp;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Epidemiology, Johns Hopkins Bloomberg School of Public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John Hopkins University, Baltimore, MD,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(8)Sheffield Centre for Health and Related Research, University of Sheffield,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Sheffield,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(9)Clinical Research Department, London School of Hygiene &amp; Tropical Medicine,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London, UK; Malawi Liverpool Wellcome Programme, Blantyre, Malawi.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>Tuberculosis killed 1·25 million peopl</w:t>
      </w:r>
      <w:r w:rsidR="00F979E0">
        <w:rPr>
          <w:rFonts w:ascii="宋体" w:eastAsia="宋体" w:hAnsi="宋体" w:cs="宋体"/>
          <w:color w:val="000000" w:themeColor="text1"/>
          <w:szCs w:val="24"/>
        </w:rPr>
        <w:t xml:space="preserve">e globally in 2023. Men have a </w:t>
      </w:r>
      <w:r w:rsidRPr="00EA7B5C">
        <w:rPr>
          <w:rFonts w:ascii="宋体" w:eastAsia="宋体" w:hAnsi="宋体" w:cs="宋体"/>
          <w:color w:val="000000" w:themeColor="text1"/>
          <w:szCs w:val="24"/>
        </w:rPr>
        <w:t>1·7 times higher tuberculosis incidence than wome</w:t>
      </w:r>
      <w:r w:rsidR="00F979E0">
        <w:rPr>
          <w:rFonts w:ascii="宋体" w:eastAsia="宋体" w:hAnsi="宋体" w:cs="宋体"/>
          <w:color w:val="000000" w:themeColor="text1"/>
          <w:szCs w:val="24"/>
        </w:rPr>
        <w:t xml:space="preserve">n, but it is not known to what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extent this discrepancy is driven by greater exposure to Mycobacterium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tuberculosis. We aimed to analyse the effect of age and sex on M tuberculosis </w:t>
      </w:r>
    </w:p>
    <w:p w:rsidR="00EA7B5C" w:rsidRPr="00F979E0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color w:val="000000" w:themeColor="text1"/>
          <w:szCs w:val="24"/>
        </w:rPr>
        <w:t>immunoreactivity.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In this systematic review and meta-analysis, we reviewed Embase, Global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Health databases, Science Citation Index Expanded, and Global Index Medicus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population-based M tuberculosis immunoreactivity (with interferon-γ release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assay or skin test) surveys done in high tuberculosis incidence settings from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Jan 1, 1993, to Dec 31, 2022, with a sample size of at least 150 people.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included cross-sectional surveys, baseline surveys for interventional or cohort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studies, and control groups of case-control studies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population-representative groups. We extracted data on M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immunoreactivity prevalence, disaggregated by sex and age group. We constructed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Bayesian hierarchical models, first of immunoreactivity prevalence by age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sex and second of the male-to-female (M:F) prevalence ratio by age. We analysed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effect of covariables including region, tuberculosis incidence, and study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year. This study was registered on PROSPERO (CRD42022360483).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screened 26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 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517 studies, of which 167 met our inclusion criteria.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Sex-disaggregated results were available from 80 studies (81 surveys), from 38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different countries, comprising data from 478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 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968 participants. We found little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sex difference in M tuberculosis immunoreactivity in childhood (M:F prevalence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ratio for children younger than 10 years was 0·95; 95% credible interval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0·90-1·01). However, from adolescence onwards, men experienced higher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immunoreactivity conversion than women (1·4 times higher by age 30 years).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higher conversion rate cumulatively drove a higher immunoreactivity prevalence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men, with a prevalence ratio of 1·07 (95% credible interval 1·01-1·13)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those aged 10-19 years, 1·13 (1·06-1·20) in those aged 20-39 years, and 1·28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(1·19-1·37) for those aged 40 years and older. Adult men had consistently higher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 tuberculosis prevalence across different settings, with low between-study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heterogeneity in M:F prevalence ratio.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Men have higher M tuberculosis immunoreactivity risk than women,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which is likely to be a key driver of the sex differences in global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morbidity and mortality. This difference could be due to higher exposure through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social and behavioural differences in time spent in congregate indoor spaces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where tuberculosis transmission occurs, further amplified by longer duration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infectiousness in men, and age-assortative and sex-assortative mixing. Public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health interventions addressing men's determinants of M tuberculosis exposure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will be crucial to ending the tuberculosis epidemic.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FUNDING: Wellcome Trust and UK Foreign, Commonwealth &amp; Development Office.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 © 2025 The Author(s). Published by Elsevier Ltd. This is an Open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Access article under the CC BY 4.0 license. Published by Elsevier Ltd.. All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rights reserved.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10.1016/S2468-2667(25)00120-3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40602858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>. Sci Adv. 2025 Jul 4;11(27):eadw5194. doi: 10.1126</w:t>
      </w:r>
      <w:r w:rsidR="00F979E0" w:rsidRPr="00F979E0">
        <w:rPr>
          <w:rFonts w:ascii="宋体" w:eastAsia="宋体" w:hAnsi="宋体" w:cs="宋体"/>
          <w:b/>
          <w:color w:val="FF0000"/>
          <w:szCs w:val="24"/>
        </w:rPr>
        <w:t xml:space="preserve">/sciadv.adw5194. Epub 2025 Jul 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>2.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Loss of the PPE71-esxX-esxY-PPE38 locus drives adaptive transcriptional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responses and hypervirulence of Mycobacterium tuberculosis lineage 2.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Koleske B(1), Schill C(1), Rajagopalan S(2), Shee S(1), Martinez-Martinez YB(1),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Gupta M(1), Shen J(1), Jacobs WR Jr(2), Bishai WR(1).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(1)Center for Tuberculosis Research, Department of Medicine, Johns Hopkins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School of Medicine, Baltimore, MD 21287,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Microbiology and Immunology, Albert Einstein College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Bronx, NY 10461,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 (M.tb) is remarkable for its immense global disease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burden and low mutation rate. Despite strong selective pressure, M.tb shows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frequent deletions at the PPE71-38 locus, most notably in hypervirulent L2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Beijing strains. Here, we show that loss of the PPE71-38 locus causes increased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stress response gene expression and increased triglyceride levels. In addition,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we demonstrate that reintroduction of PPE71 into the L2 strain HN878 suppresses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baseline elevation of these transcripts, while overexpression of PPE71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increases the localization of PE_PGRS proteins and lipoproteins to the M.tb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outer mycomembrane. Mouse infection confirmed the hypervirulence of the PPE71-38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deletion strain and conversely showed that PPE71 overexpression attenuates M.tb.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Our results indicate that loss of PPE71-38 is sufficient to drive an adaptive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transcriptional response seen in M.tb L2 strains that likely contributes to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hypervirulence of this lineage.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10.1126/sciadv.adw5194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PMC12219505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40601738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PLoS Negl Trop Dis. 2025 Jul 2;19(7):e0013204. doi: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10.1371/journal.pntd.0013204. eCollection 2025 Jul.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outcomes of multi-drug-resistant and rifampicin-resistant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and without isolation of nontuberculous mycobacteria between 2018-2021: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retrospective cohort study in 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Abbew ET(1)(2)(3), Laryea R(4), Kwakye AO(2), Poku YA(5), Obiri-Yeboah D(6),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Lynen L(1), Decroo T(1), Rigouts L(1)(3)(7), Lorent N(8)(9).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Clinical Sciences, Institute of Tropical Medicine, Antwerp,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Belgium.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Cape Coast Teaching Hospital, Cape Coast,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(3)Department of Biomedical Sciences, University of Antwerp, Belgium.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(4)Eastern Regional Hospital, Koforidua, 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(5)National Tuberculosis Control Programme, Accra, 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Microbiology and Immunology, School of Medical Sciences,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of Cape Coast, Cape Coast, 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Biomedical Sciences, Institute of Tropical Medicine, Antwerp,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Belgium.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(8)Department of Respiratory Diseases, University Hospital Leuven, Leuven,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Belgium.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(9)Department of Chronic Diseases, Metabolism and Aging, BREATHE Laboratory,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Katholieke Universiteit Leuven, Leuven, Belgium.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Multi-drug-resistant and rifampicin-resistant tuberculosis (MDR/RR-TB) pose 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urgent health threat in Ghana. Despite ongoing interventions, the outcomes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MDR/RR-TB in Ghana have remained suboptimal over recent years. During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period, there has been an increasing detection of nontuberculous mycobacteria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(NTM) in mycobacterial cultures. We sought to examine if the isolation of NTM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could be a factor contributing to unfavourable MDR/RR-TB treatment outcomes.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also estimated predictors of NTM isolation, including using the short-course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injectable-containing regimen (SCI) versus the all-oral bedaquiline (SCO)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regimen and other covariates. This retrospective cohort study analysed MDR/RR-TB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patients in Ghana from 2018 to 2021 across four regions. Demographic, clinical,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diagnostic data were collected under the National Tuberculosis Control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Program framework. Mycobacterial smears and cultures were used to monitor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response, with further identification of NTM using line probe assays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Sanger sequencing. Multivariable logistic regression models evaluated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predictors of NTM isolation and having an unfavourable outcome. Of 427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identified MDR/RR-TB patients, 380 were included for analysis: 76.3% were male,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mean age was 43.9 years, and 18.9% were people living with HIV. NTM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isolated in 7.1% of cases, primarily Mycobacterium intracellulare and M.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fortuitum, with higher odds of isolation in individuals from the Eastern Region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(aOR:14.18, 95% CI: 3.95-50.92). Overall, 67.9% achieved favourable outcomes: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71.4% (185/259) in those on the SCO versus 60.3% (73/121) on the SCI regimen.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People living with HIV (aOR 14.18, 95% CI: 3.95-50.92) had an increased odds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having an unfavourable outcome. NTM isolation was not associated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unfavourable outcomes. Our study results suggest that although NTM isolation may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occur during the course of MDR/RR-TB treatment, it does not affect MDR/RR-TB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outcome. Future research should further explore the implications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NTM co-infection on longer-term MDR/RR-TB outcomes, such as post-TB lung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disease, to refine management strategies tailored to the reality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low-resource, high-burden settings.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Copyright: © 2025 Abbew et al. This is an open access article distributed under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original author and source are credited.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10.1371/journal.pntd.0013204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PMC12221066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40601698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Proc Natl Acad Sci U S A. 2025 Jul 8;122(27):e2423349122. doi: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10.1073/pnas.2423349122. Epub 2025 Jul 2.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 Mycobacterium tuberculosis secreted virulence factor Rv1435c/hsr1 disrupts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host snRNP biogenesis.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Chauhan K(1), Datta D(#)(1), Kapoor Y(#)(2)(3), Passricha N(#)(1), Dutt R(1),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Arora N(1), Das M(1), Rao K(1), Singh L(1), Gautam A(1), Sharma RD(1), Sarkar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B(4), Yadav M(4), Malakar B(4), Kalam H(1), Saini P(5), Mehra L(6), Das P(6),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Ahuja V(7), Singhal A(8)(9), Nandicoori V(2)(4), Kumar D(1).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(1)Cellular Immunology Group, International Centre for Genetic Engineering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Biotechnology, Aruna Asaf Ali Marg, New Delhi 110067,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(2)Centre for Cellular and Molecular Biology, Hyderabad 500050,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(3)Academy of Scientific and Innovative Research, Ghaziabad 201002,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(4)National Institute of Immunology, Aruna Asaf Ali Marg, New Delhi 110067,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 of Biological Sciences, Indian Institute of Science Education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Research Mohali, Punjab 140306,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Pathology, All India Institute of Medical Sciences, New Delhi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110012,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Gastroenterology, All India Institute of Medical Sciences, New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Delhi 110012,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(8)A*STAR Infectious Diseases Labs (A*STAR ID labs), Agency for Science,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Technology and Research (A*STAR), Singapore 138648, Singapore.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(9)Singapore Immunology Network, A*STAR, Singapore 138648, Singapore.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Transcriptional adaptation drives the host responses to Mycobacterium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(Mtb) infection. However, Mtb alters host RNA splicing to quench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host antibacterial responses, the mechanism for which remains unknown. Here,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report a mechanism whereby a secreted Mtb protein interferes with the biogenesis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key spliceosomal components. A high-throughput yeast-2-hybrid screen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identified several Mtb-secreted proteins interacting with the host RNA splicing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factors (SFs). Through custom-designed in-cell assays, we show that one of those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proteins, Rv1435c/hsr1 (host splicing regulator 1), targets specific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exon-skipping events. The Mtb Rv14345c/hsr1 facilitates direct interaction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between Mtb phagosomes and U5 snRNA and SNRPF, key components of the snRNPs.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Genetic deletion of Rv1435c/hsr1 reverses the specific exon-skipping events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caused by WT Mtb infection. The Δhsr1 strain shows compromised growth during ex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vivo infection in macrophages and in vivo infection in mice. Tissue sections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from the WT Mtb or Δhsr1-infected mice showed significant hsr1-dependent SNRPF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staining, a phenomenon also noted in the human intestinal tuberculosis (ITB)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biopsies. Thus, hsr1 is a virulence factor that disrupts host snRNP biogenesis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pathogenesis. The splicing regulators from the host and pathogen are novel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targets for antituberculosis therapy.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10.1073/pnas.2423349122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40601628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 xml:space="preserve">. PLoS One. 2025 Jul 2;20(7):e0326444. doi: 10.1371/journal.pone.0326444. </w:t>
      </w:r>
    </w:p>
    <w:p w:rsidR="00EA7B5C" w:rsidRPr="00F979E0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F979E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Spatiotemporal hotspot analysis of tuberculosis lost to follow-up cases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Ghana: A district-level study from 2019-2023.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Ngmenbelle D(1), Amoa-Saah B(1), Nimirkpen S(1), Akesem MA(1), Idan JS(1),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Mohammed A(1).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Epidemiology and Biostatistics, School of Public Health, Kwame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Nkrumah University of Science and Technology, Kumasi, 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Despite existing measures to control Tuberculosis (TB), the burden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TB remains a serious challenge in Ghana, with declining treatment success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rates over recent years. Lost to Follow-Up (LTFU) has been attributed to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decline. This cross-sectional study aims to employed spatiotemporal analysis, 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underutilized approach in this context, to explore areas with high prevalence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LTFUs in order to improve TB treatment success rates.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 spatiotemporal analysis was conducted in Ghana using TB LTFU data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from 2019-2023 extracted from the District Health Information Management System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 (DHIMS2). Proportions of LTFU were used for spatial mapping. We adopted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Global Moran's I, LISA and Getis-Ord G* techniques to determine spatial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autocorrelation, optimized clusters or outliers and identify hotspot areas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respectively.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 total of 2,887 TB LTFU cases were recorded out of 75,604 TB cases.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observed an initial increase of TB LTFU from 2019 (4.12%) to 2020, and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diminishing trend (5.28% to 3.11%) from 2020 to 2023. The Global Moran's 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estimations showed significant spatial clustering of TB LTFU cases from 2019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2021, shifting to a more random distribution in 2022 and 2023. High spatial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clustering of LTFU were primarily reported in districts within Eastern, Central,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Greater Accra regions across 2019-2023, with clusters in Volta and Ashanti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regions in 2021. We identified significant hotspot areas in districts within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Greater Accra, Central, and Eastern regions.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Hotspot areas of TB LTFU were primarily identified in densely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populated regions. Strategic plans such as intensive education programs should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 implemented to address pertinent issues regarding LTFU in the affected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districts. Priorities should be directed towards populated regions, particularly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Greater Accra, Central and Eastern regions, to improve TB treatment adherence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outcomes.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Copyright: © 2025 Ngmenbelle et al. This is an open access article distributed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10.1371/journal.pone.0326444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PMC12221003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40601620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F979E0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40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>. Eur J Clin Pharmacol. 2025 Jul 2. doi: 10.1007/s0</w:t>
      </w:r>
      <w:r w:rsidR="00F979E0" w:rsidRPr="00F979E0">
        <w:rPr>
          <w:rFonts w:ascii="宋体" w:eastAsia="宋体" w:hAnsi="宋体" w:cs="宋体"/>
          <w:b/>
          <w:color w:val="FF0000"/>
          <w:szCs w:val="24"/>
        </w:rPr>
        <w:t xml:space="preserve">0228-025-03871-1. Online ahead </w:t>
      </w:r>
      <w:r w:rsidR="00EA7B5C" w:rsidRPr="00F979E0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Pretomanid can significantly increase plasma rivaroxaban concentrations-a case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report.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Fan D(1), Chikura T(2), McCrostie S(2), Chin PKL(3)(4).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Clinical Pharmacology, Christchurch Hospital, Te Whatu Ora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Waitaha Canterbury, Christchurch, New Zealand. dali.fan@cdhb.health.nz.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Christchurch Hospital, Te Whatu Ora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Waitaha Canterbury, Christchurch, New Zealand.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Clinical Pharmacology, Christchurch Hospital, Te Whatu Ora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Waitaha Canterbury, Christchurch, New Zealand.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(4)Department of Medicine, University of Otago, Christchurch, New Zealand.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BACKGROUND: R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ivaroxaban, a direct factor Xa inhibitor, is an oral anticoagulant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used in the prevention and treatment of thromboembolic disease. The clearance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rivaroxaban involves excretion unchanged via the kidneys where it is subject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active secretion into the renal tubules, involving P-glycoprotein (P-gp)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organic anion transporter 3 (OAT3). Pretomanid, a nitroimidazole antibiotic used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multidrug-resistant tuberculosis (MDR-TB), is an OAT3 inhibitor based on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vitro data. This case report describes a "natural experiment" involving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rivaroxaban concentration monitoring. It entails a novel pharmacokinetic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interaction between rivaroxaban and pretomanid in a 61-year-old male undergoing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MDR-TB treatment.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Following pretomanid initiation, rivaroxaban trough plasma concentration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increased more than two-fold, prompting a halving of rivaroxaban dose,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subsequent restoration of trough concentration to pre-pretomanid value.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This interaction appears to be mediated by pretomanid inhibition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OAT3, which reduces renal clearance of rivaroxaban. Other components of MDR-TB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regimen and pre-existing medications are unlikely to be contributory based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their pharmacokinetic profiles.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F979E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This case highlights the potential impact of drug interactions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involving pretomanid and known OAT3 perpetrators on the pharmacokinetics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rivaroxaban and other OAT3 substrates, particularly those of low therapeutic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index, such as methotrexate. Given the global rise in MDR-TB, further research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into pretomanid as a perpetrator of drug interactions is warranted.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Springer-Verlag GmbH Germany,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part of Springer Nature.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10.1007/s00228-025-03871-1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40601036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B33E0E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41</w:t>
      </w:r>
      <w:r w:rsidR="00EA7B5C" w:rsidRPr="00B33E0E">
        <w:rPr>
          <w:rFonts w:ascii="宋体" w:eastAsia="宋体" w:hAnsi="宋体" w:cs="宋体"/>
          <w:b/>
          <w:color w:val="FF0000"/>
          <w:szCs w:val="24"/>
        </w:rPr>
        <w:t xml:space="preserve">. AJR Am J Roentgenol. 2025 Jul 2. doi: 10.2214/AJR.25.33059. Online ahead of </w:t>
      </w:r>
    </w:p>
    <w:p w:rsidR="00EA7B5C" w:rsidRPr="00B33E0E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B33E0E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Multimodal Generative Artificial Intelligence Model for Creating Radiology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Reports for Chest Radiographs in Patients Undergoing Tuberculosis Screening.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Hong EK(1), Kim HW(2), Song OK(1), Lee KC(3), Kim DK(4), Cho JB(5), Kim J(6),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Lee S(7), Bae W(5), Roh B(8).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(1)Mass General Brigham, Boston,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(2)St. Mary's Hospital, Seoul, South 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(3)Korea University College of Medicine, Seoul, South 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(4)Severence Hospital, Seoul, 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(5)SoombitAI, Seoul South 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(6)Kakaobrain, Seoul, South 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(7)Seoul National University Hospital, Seoul, South 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(8)Kakao corp, Seoul, South 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33E0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Chest radiographs play a crucial role in tuberculosis screening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high-prevalence regions, although widespread radiographic screening requires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expertise that may be unavailable in settings with limited medical resources.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Objectives: To evaluate a multimodal generative artificial intelligence (AI)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model for detecting tuberculosis-associated abnormalities on chest radiography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 patients undergoing tuberculosis screening.</w:t>
      </w:r>
      <w:r w:rsidRPr="00B33E0E">
        <w:rPr>
          <w:rFonts w:ascii="宋体" w:eastAsia="宋体" w:hAnsi="宋体" w:cs="宋体"/>
          <w:b/>
          <w:color w:val="000000" w:themeColor="text1"/>
          <w:szCs w:val="24"/>
        </w:rPr>
        <w:t xml:space="preserve"> Methods: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This retrospective study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evaluated 800 chest radiographs obtained from two public datasets originating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from tuberculosis screening programs. A generative AI model was used to create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free-text reports for the radiographs. AI-generated reports were classified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terms of presence versus absence and laterality of tuberculosis-related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abnormalities. Two radiologists independently reviewed the radiographs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presence and laterality in separate sessions, without and with use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AI-generated reports and recorded if they would accept the report without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modification. Two additional radiologists reviewed radiographs and clinical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readings from the datasets to determine the reference standard. </w:t>
      </w:r>
      <w:r w:rsidRPr="00B33E0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By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reference standard, 422/800 radiographs were positive for tuberculosis-related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abnormalities. For detection of tuberculosis-related abnormalities, sensitivity,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specificity, and accuracy were 95.2%, 86.7%, and 90.8% for AI-generated reports;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93.1%, 93.6%, and 93.4% for reader 1 without AI-generated reports; 93.1%, 95.0%,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94.1% for reader 1 with AI-generated reports; 95.8%, 87.2%, and 91.3%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reader 2 without AI-generated reports; and 95.8%, 91.5%, and 93.5% for reader 2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AI-generated reports. Accuracy was significantly lower for AI-generated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reports than for both readers alone (p&lt;.001), but significantly higher with than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without AI-generated reports for one reader (reader 1: p=.47; reader 2: p=.47).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Localization performance was significantly lower (p&lt;.001) for AI-generated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reports (63.3%) than for reader 1 (79.9%) and reader 2 (77.9%) without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AI-generated reports and did not significantly change for either reader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AI-generated reports (reader 1: 78.7%, p=.71; reader 2: 81.5%, p=.23). Among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normal and abnormal radiographs, reader 1 accepted 91.7% and 52.4%, while reader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 accepted 83.2% and 37.0%, respectively, of AI-generated reports. Conclusion: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While AI-generated reports may augment radiologists' diagnostic assessments,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current model requires human oversight given inferior standalone performance.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33E0E">
        <w:rPr>
          <w:rFonts w:ascii="宋体" w:eastAsia="宋体" w:hAnsi="宋体" w:cs="宋体"/>
          <w:b/>
          <w:color w:val="000000" w:themeColor="text1"/>
          <w:szCs w:val="24"/>
        </w:rPr>
        <w:t xml:space="preserve">Clinical Impact: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generative AI model could have potential application to aid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screening programs in medically underserved regions, although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technical improvements remain required.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10.2214/AJR.25.33059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40600508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B33E0E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42</w:t>
      </w:r>
      <w:r w:rsidR="00EA7B5C" w:rsidRPr="00B33E0E">
        <w:rPr>
          <w:rFonts w:ascii="宋体" w:eastAsia="宋体" w:hAnsi="宋体" w:cs="宋体"/>
          <w:b/>
          <w:color w:val="FF0000"/>
          <w:szCs w:val="24"/>
        </w:rPr>
        <w:t xml:space="preserve">. Open Forum Infect Dis. 2025 Jun 25;12(7):ofaf344. doi: 10.1093/ofid/ofaf344. </w:t>
      </w:r>
    </w:p>
    <w:p w:rsidR="00EA7B5C" w:rsidRPr="00B33E0E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B33E0E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High Rates of Mortality During Drug-Resistant Tuberculosis Treatment Among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Individuals With Diabetes Mellitus and Low Body Mass Index.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Veeken LD(1), Kulsum ID(2), Lestari BW(1)(3)(4), Santoso P(2), Soetedjo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NNM(2)(4), Koesoemadinata RC(4), Miranda AV(4), Sukmawati W(4), Salindri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AD(4)(5), Soeroto AY(2)(4), van Crevel R(1)(6).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 and Radboud Community for Infectious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Diseases, Radboud University Medical Center, Nijmegen, The Netherlands.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Faculty of Medicine, Hasan Sadikin General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Hospital, Universitas Padjadjaran, Bandung, Indonesia.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Public Health, Faculty of Medicine, Universitas Padjadjaran,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Bandung, Indonesia.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(4)Tuberculosis Working Group, Research Center for Care and Control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Infectious Diseases, Universitas Padjadjaran (RC3ID Unpad), Bandung, Indonesia.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(5)Division of Infectious Diseases and Geographic Medicine, Department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Stanford University School of Medicine, Stanford, California,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(6)Centre for Tropical Medicine and Global Health, Nuffield Department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University of Oxford, Oxford, United Kingdom.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33E0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Diabetes is a risk factor for mortality during rifampicin-resistant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(RR-TB) treatment, but whether its impact differs by nutritional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status is unknown. We estimated the effect of diabetes and its interaction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low body mass index (BMI) (ie, &lt;18.5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kg/m2) on all-cause mortality during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treatment of RR-TB.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used medical record data of adults treated for RR-TB in Indonesia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between March 2020 and May 2022. Diabetes was defined as glycated hemoglobin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 xml:space="preserve">≥6.5% or prior diabetes diagnosis by healthcare providers. Cox proportional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hazards regression was used to estimate the hazard rates of mortality during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comparing those with and without diabetes. Multiplicative and additive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interactions were evaluated to determine if the effect of diabetes on mortality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during treatment was moderated by BMI status.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: Among 345 individuals (57% male, 1.7% with human immunodeficiency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virus, 59% with BMI &lt;18.5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kg/m2), 96 (28%) had diabetes and 62 (18%) died.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Adjusting for confounders, the hazard rates of mortality during treatment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higher among those with diabetes (adjusted hazard rate ratio [aHR], 2.05 [95%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CI, 1.17-3.58]) or those with BMI &lt;18.5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kg/m2 (aHR, 2.33 [95% CI, 1.28-4.21]).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No significant multiplicative nor additive interaction was detected, but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hazard rates of mortality were highest among those with diabetes and BMI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&lt;18.5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kg/m2 (aHR, 7.14 [95% CI, 2.71-18.82]) compared to those without diabetes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BMI 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EA7B5C">
        <w:rPr>
          <w:rFonts w:ascii="宋体" w:eastAsia="宋体" w:hAnsi="宋体" w:cs="宋体"/>
          <w:color w:val="000000" w:themeColor="text1"/>
          <w:szCs w:val="24"/>
        </w:rPr>
        <w:t>18.5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EA7B5C">
        <w:rPr>
          <w:rFonts w:ascii="宋体" w:eastAsia="宋体" w:hAnsi="宋体" w:cs="宋体"/>
          <w:color w:val="000000" w:themeColor="text1"/>
          <w:szCs w:val="24"/>
        </w:rPr>
        <w:t>kg/m2.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Having diabetes doubled the risk of mortality during RR-TB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treatment. Highest mortality rates were observed among individuals with combined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diabetes and low BMI.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10.1093/ofid/ofaf344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PMCID: PMC12207741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40599491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B6060A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EA7B5C" w:rsidRPr="00B6060A">
        <w:rPr>
          <w:rFonts w:ascii="宋体" w:eastAsia="宋体" w:hAnsi="宋体" w:cs="宋体"/>
          <w:b/>
          <w:color w:val="FF0000"/>
          <w:szCs w:val="24"/>
        </w:rPr>
        <w:t>. J Proteome Res. 2025 Jul 1. doi: 10.1021/acs.jpro</w:t>
      </w:r>
      <w:r w:rsidR="00B6060A" w:rsidRPr="00B6060A">
        <w:rPr>
          <w:rFonts w:ascii="宋体" w:eastAsia="宋体" w:hAnsi="宋体" w:cs="宋体"/>
          <w:b/>
          <w:color w:val="FF0000"/>
          <w:szCs w:val="24"/>
        </w:rPr>
        <w:t xml:space="preserve">teome.4c00989. Online ahead of </w:t>
      </w:r>
      <w:r w:rsidR="00EA7B5C" w:rsidRPr="00B6060A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Multiomics and Machine Learning Identify Immunometabolic Biomarkers for Active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Diagnosis Against Nontuberculous Mycobacteria and Latent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 Infection.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Tien NTN(1), Yen NTH(1), Phat NK(1), Anh NK(2), Thu NQ(1), Eunsu C(1), Kim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HS(1), Hoa VD(3), Nguyen DN(4), Kim DH(1), Oh JY(5), Long NP(1).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Pharmacology and PharmacoGenomics Research Center, Inje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College of Medicine, Busan 47392, Republic of 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(2)Faculty of Pharmacy, Ton Duc Thang University, Ho Chi Minh City 700000,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Vietnam.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(3)The National Centre of Drug Information and Adverse Drug Reaction Monitoring,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Hanoi University of Pharmacy, Hanoi 11021, Vietnam.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(4)Section for Comparative Pediatrics and Nutrition, Department of Veterinary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Animal Sciences, University of Copenhagen, Frederiksberg 1870, Denmark.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(5)Division of Pulmonary, Allergy and Critical Care Medicine, Department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Internal Medicine, Korea University Guro Hospital, Seoul 08308, Republic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Korea.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This study utilized multiomics combined with a comprehensive machine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learning-based predictive modeling approach to identify, validate,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prioritize circulating immunometabolic biomarkers in distinguishing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(TB) from nontuberculous mycobacteria (NTM) infections, latent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infection (LTBI), and other lung diseases (ODx). Functional omics data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collected from two discovery cohorts (76 patients in the TB-NTM cohort and 72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patients in the TB-LTBI-ODx cohort) and one validation cohort (68 TB patients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30 LTBI patients). Mutiomics integrative analysis identified three plasma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multiome biosignatures that could distinguish active TB from non-TB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promising performance, achieving area under the receiver operating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characteristic curve (AUC) values of 0.70-0.90 across groups in both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discovery and validation cohorts. The lipid PC(14:0_22:6) emerged as the most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important predictor for differentiating active TB from non-TB controls,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consistently presenting at lower levels in the active TB group compared with its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counterparts. Further validation using two independent external data sets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demonstrated AUCs of 0.77-1.00, confirming the biomarkers' efficacy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distinguishing active TB from other non-TB groups. Our investigation highlights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lipids as promising biomarkers for classifying TB, NTM, LTBI, and ODx. Rigorous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validation further indicates PC(14:0_22:6) as a TB differential diagnostic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biomarker candidate.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10.1021/acs.jproteome.4c00989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40598791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B6060A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EA7B5C" w:rsidRPr="00B6060A">
        <w:rPr>
          <w:rFonts w:ascii="宋体" w:eastAsia="宋体" w:hAnsi="宋体" w:cs="宋体"/>
          <w:b/>
          <w:color w:val="FF0000"/>
          <w:szCs w:val="24"/>
        </w:rPr>
        <w:t>. Adv Rheumatol. 2025 Jul 1;65(1):29. doi: 10.1186/s42358-025-00462-7.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Brazilian guidelines for the management of tuberculosis infection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immune-mediated inflammatory diseases: is retesting in latent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screening appropriate and Safe?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Brito C(1)(2)(3), de Brito RM(4).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(1)Postgraduate Program in Tropical Medicine, Center of Medical Sciences,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Federal University of Pernambuco, Recife, Brazil. cbritoc@gmail.com.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Center of Medical Sciences, Universidade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Federal de Pernambuco (UFPE), Av. Prof. Moraes Rego, 1235, Cidade Universitária,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Recife, Pernambuco, 50740-600, Brazil. cbritoc@gmail.com.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Immunology, Autoimune Research Institute, Recife, Pernambuco,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Brazil. cbritoc@gmail.com.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Pediatrics-Pneumology, Pernambuco University, Recife,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Pernambuco,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article "Brazilian Recommendations for the Management of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Infection in Immune-Mediated Inflammatory Diseases" by Viviane de Souza et al.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presents important discussions on the subject; however, the recommendation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annual repetition of the TST/IGRA test for three years and after medication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changes raises considerable concerns. This approach may lead to overdiagnosis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overtreatment of latent tuberculosis infection (LTBI). Frequent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false-positive results in retests can result in unnecessary antibiotic use,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contributing to bacterial resistance, a problem of global significance.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recommendation, considered to have a moderate level of evidence, is subject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criticism. Arguments used to support retesting, such as high conversion rates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tests after one year, reports of tuberculosis cases despite negative screenings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being attributed to false negatives, and reliance on other sources with lower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levels of evidence, do not constitute sufficient evidence to confirm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infection or justify the recommendation. On the other hand, there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 evidence that has not been considered in the discussion against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recommendation for retesting, indicating that this practice may increase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risk of diagnosing false-positive infections, leading to overtreatment without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clinically proven benefits. Potentially harmful interventions should not be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implemented without solid evidence to support them. In this letter to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editor, we briefly discuss this recommendation and the arguments against its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implementation, highlighting its associated risks.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10.1186/s42358-025-00462-7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40598706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B6060A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EA7B5C" w:rsidRPr="00B6060A">
        <w:rPr>
          <w:rFonts w:ascii="宋体" w:eastAsia="宋体" w:hAnsi="宋体" w:cs="宋体"/>
          <w:b/>
          <w:color w:val="FF0000"/>
          <w:szCs w:val="24"/>
        </w:rPr>
        <w:t>. BMC Health Serv Res. 2025 Jul 1;25(1):858. doi: 10.1186/s12913-025-12967-4.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Review: missed tuberculosis cases in India: a systematic analysis of diagnostic,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treatment, and reporting gaps.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Shrisunder R(1), Muraleedharan M(1), Jadhav SJ(1), Figueiredo D(2).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(1)Symbiosis Institute of Health Sciences, Symbiosis International (Deemed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University), Lavale, Pune City, Maharashtra, 412115,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(2)Symbiosis Institute of Health Sciences, Symbiosis International (Deemed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University), Lavale, Pune City, Maharashtra, 412115, India.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drdwight@sihs.edu.in.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India aims to eliminate tuberculosis (TB) by 2025. Despite ongoing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efforts to transform TB care, numerous factors contribute to the persistence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missing cases in India. To gain insight into this issue, we performed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comprehensive review to identify the factors responsible for these missing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cases, segregating them into patient- and provider-related factors,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reference to the layers of the onion model.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conducted a comprehensive literature review using relevant search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strings in the MEDLINE, Scopus, and Web of Science databases from 2000 to 2024.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Given the heterogeneity of the included studies, a qualitative rather than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quantitative data analysis approach was considered. For the quality evaluation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studies, we employed a modified version of the Critical Appraisal Skills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Program (CASP) checklist.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Of the 253 articles identified, 25 studies that met the criteria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“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missing cases” were selected for analysis. Based on the objectives of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review, we identified patient-related factors contributing to missing cases,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including geographical displacement due to migration or occupational reasons,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alcoholism, illiteracy, personal commitments, side effects to Anti-Tubercular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(ATT), depressive symptoms, perceived social stigma, reluctance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reveal prior treatment history, and no record keeping. Provider-related factors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highlighted were inadequate communication and sputum sample collection,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exhaustion of pharmaceutical supplies, patient loss to follow-up, ACF versus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PCF, inadequacy of diagnostic tests, lack of history taking, misclassification,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issues related to Ni-KSHAY notification. Based on this layer-wise model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missing factors, we discuss pertinent challenges along with plausible strategies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recommendations to stem the rise in missing cases within the Indian context.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Our novel findings with reference to the onion model allow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systematic highlighting and addressing of the key patient and provider factors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that are fuelling missing cases. The results revealed that provider factors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predominantly contributed to the missing case TB scenario. Improved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accessibility to services, provider training, and competency building (i.e.,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handling samples, co-morbid patients, and case notifications), along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improving diagnostic infrastructure, would serve to strengthen the cause of 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elimination.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SUPPLEMENTARY INFORMATION: The online version contains supplementary material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available at 10.1186/s12913-025-12967-4.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10.1186/s12913-025-12967-4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PMC12220073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40598516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B6060A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EA7B5C" w:rsidRPr="00B6060A">
        <w:rPr>
          <w:rFonts w:ascii="宋体" w:eastAsia="宋体" w:hAnsi="宋体" w:cs="宋体"/>
          <w:b/>
          <w:color w:val="FF0000"/>
          <w:szCs w:val="24"/>
        </w:rPr>
        <w:t>. Int J Equity Health. 2025 Jul 1;24(1):185. doi: 10.1186/s12939-025-02566-4.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Stigmatization and discrimination of female tuberculosis patients in Kyrgyzstan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- a phenomenological study.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Brüggemann R(1)(2), Schlumberger F(3), Chinshailo F(2), Willis M(4), Kadyrov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A(2), Kalmambetova G(2), Chen M(1), Unterkircher SC(3)(5), Moidunova N(2),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Sydykova A(2), Fastenau A(5)(6).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Health Ethics and Society, Faculty of Health, Medicine and Life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Sciences, Maastricht University, Maastricht, 6211 LK, The Netherlands.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(2)National Tuberculosis Program Kyrgyzstan (NTP), Akhunbayeva Street 90a,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Bishkek, 720020, Kyrgyzstan.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(3)Marie Adelaide Leprosy Center (MALC), Karachi, 74400, Pakistan.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Global Health, Institute of Public Health and Nursing Research,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of Bremen, Bremen, 28359, Germany. willis@uni-bremen.de.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 of Global Health, Institute of Public Health and Nursing Research,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of Bremen, Bremen, 28359, Germany.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(6)German Leprosy and Tuberculosis Relief Association (GLRA/DAHW), 97080,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Wurzburg, Germany.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Republic of Kyrgyzstan is among the 30 countries with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highest burden of multidrug-resistant Tuberculosis worldwide. One of the reasons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 widespread stigmatization and discrimination. As previous research has shown,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particularly women experience stigma while its impact on their life and (mental)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health is even greater than for men. This is the first phenomenological study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explore women's lived experiences of TB-related stigmatization in Kyrgyzstan.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This study aims to raise awareness about the gender-specific impact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stigmatization and discrimination.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Descriptive phenomenology was used. 15 semi-structured in-depth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interviews with female TB-patients were conducted between 28th May and 14th June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2024. Themes were stigma experiences, their consequences and coping strategies.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Participants were recruited from two TB Hospitals and two Family Medical Centers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(primary health care units) in Bishkek through purposive sampling. The data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analysis followed a thematic approach based on a combination of deductive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inductive coding.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14 of 15 participants experienced stigmatization and discrimination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one way or another. Anticipated stigma was very prominent, manifesting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non-disclosure of the diagnosis apart from close family. Enacted stigma mostly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occurred within society or non-TB-specialized healthcare facilities.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Self-stigmatization often followed anticipated and enacted stigma. Stigma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experiences impacted daily and social life, marital prospects and access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educational and work opportunities but mainly led to mental health issues, which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12 of 15 participants reported.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Conclusion. In contrast to previous research, this study did not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find diagnostic delay nor non-adherence to treatment because of stigmatization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discrimination. However, experiences within the healthcare facilities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impacted the perceived quality of care. Stigmatization within the family, mostly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by in-laws, was anchored in the patriarchal and conservative attitudes of Kyrgyz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society. Overall, key findings of this study were widespread lack of knowledge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about the disease and its transmission as a reason for and mental health issues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because of stigmatization and discrimination. The findings imply the need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intervention strategies and policies focusing on education about TB, integration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psychosocial support into treatment and improvements in quality of care.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Altogether, this could contribute to the reduction of TB-related stigmatization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discrimination which would reduce the individual burden of TB.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10.1186/s12939-025-02566-4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PMC12210680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40598484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B6060A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EA7B5C" w:rsidRPr="00B6060A">
        <w:rPr>
          <w:rFonts w:ascii="宋体" w:eastAsia="宋体" w:hAnsi="宋体" w:cs="宋体"/>
          <w:b/>
          <w:color w:val="FF0000"/>
          <w:szCs w:val="24"/>
        </w:rPr>
        <w:t>. Trop Med Health. 2025 Jul 1;53(1):89. doi: 10.1186/s41182-025-00771-z.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Evaluation of the PATHFAST TB LAM Ag assay as a treatment monitoring tool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pulmonary tuberculosis in Nairobi, Kenya.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Orina F(#)(1), Hikone M(#)(2), Saito N(3), Ong'ang'o J(1), Nyerere A(4), Songoro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E(4), Meme H(1).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(1)Center for Respiratory Disease Research, Kenya Medical Research Institute,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Nairobi, Kenya.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(2)Kenya Research Station, Institute of Tropical Medicine, Nagasaki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Nagasaki, Japan.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(3)Kenya Research Station, Institute of Tropical Medicine, Nagasaki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Nagasaki, Japan. nsaito@nagasaki-u.ac.jp.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Medical Microbiology, College of Health Sciences, Jomo Kenyatta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of Agriculture and Technology, Nairobi, Kenya.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monitoring is important in pulmonary tuberculosis (PTB)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management, since prolonged treatment necessitates regular assessments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prevent treatment failure and the emergence of drug-resistant strains. However,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lack of a simple, rapid, and reliable treatment monitoring tool (TMT)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remains a major challenge. We evaluated the utility of measuring sputum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lipoarabinomannan (LAM) concentration by the PATHFAST TB LAM Ag assay (PHC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Corporation, Tokyo, Japan) as a TMT in patients with PTB in Nairobi, Kenya.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: We retrospectively analyzed sputum LAM levels via the PATHFAST TB LAM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Ag assay from a Nairobi cohort of patients with PTB and compared these results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conventional microbiological tests (acid-fast bacilli [AFB] smear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microscopy; mycobacterial growth indicator tube [MGIT] culture). Stored sputum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pellets processed with N-acetyl-L-cysteine (NALC)-NaOH were used for LAM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measurement. Serial LAM concentrations measured every 2 weeks over an 8-week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period were compared across bacterial load categories to assess correlations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AFB smear grades and culture results using the Kruskal-Wallis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Mann-Whitney U tests.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RESULTS: T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he 98 patients included here had a median age of 37 years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(Interquartile Range: 27-44). The majority were men (74/98, 75.5%) and the MGIT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culture was positive for 89 (90.8%) of them. Patients with elevated baseline LAM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concentrations showed a significant reduction in LAM levels with treatment (90%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median reduction by week 8), whereas those with low baseline LAM concentrations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did not show a declining trend. Sputum LAM levels were significantly higher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culture-positive samples compared to culture-negative samples (23.8 pg/mL vs.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10.8 pg/mL, P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&lt;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0.001). Sputum LAM levels showed a significant correlation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AFB smear grades, with median concentrations increasing progressively from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11.3 pg/mL in smear-negative samples to 19.7 pg/mL in scanty/1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+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samples,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46.7 pg/mL in 2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+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/3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+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samples (P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0.0001). LAM levels were significantly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higher in culture-positive/AFB-positive sputum samples (viable bacilli) than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culture-negative/AFB-positive samples (non-viable bacilli) (P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&lt;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0.0001).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Our findings revealed that sputum LAM concentration declined during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TB treatment, particularly among patients with high baseline levels,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correlated with AFB smear grades and culture results. Additionally, LAM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concentrations differed between culture-positive and culture-negative samples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among AFB smear-positive samples. Further prospective studies are needed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assess LAM levels as a TMT.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10.1186/s41182-025-00771-z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PMC12210661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40598435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B6060A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EA7B5C" w:rsidRPr="00B6060A">
        <w:rPr>
          <w:rFonts w:ascii="宋体" w:eastAsia="宋体" w:hAnsi="宋体" w:cs="宋体"/>
          <w:b/>
          <w:color w:val="FF0000"/>
          <w:szCs w:val="24"/>
        </w:rPr>
        <w:t>. BMC Infect Dis. 2025 Jul 1;25(1):821. doi: 10.1186/s12879-025-11218-5.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Delayed culture conversion predicts poor outcomes for isoniazid mono-resistant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TB in Uganda: a retrospective cross-sectional study from 2017- 2022.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Kabugo J(1)(2), Sande OJ(3), Kabahita JM(4), Namutebi J(4), Mujuni D(4), Oundo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HR(5), Kisakye D(4), Batte DN(4), Joloba M(4)(3), Mboowa G(3)(6)(7).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(1)The WHO Supranational Tuberculosis Reference Laboratory, Ministry of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Kampala, Uganda. ksolomonjoel@gmail.com.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Immunology and Molecular Biology, School of Biomedical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Sciences, College of Health Sciences, Makerere University, P. O Box 7072,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Kampala, Uganda. ksolomonjoel@gmail.com.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Immunology and Molecular Biology, School of Biomedical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Sciences, College of Health Sciences, Makerere University, P. O Box 7072,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(4)The WHO Supranational Tuberculosis Reference Laboratory, Ministry of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 of National Health Laboratory and Diagnostic Services, Central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Public Health Laboratories, Kampala, Uganda.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(6)African Center of Excellence in Bioinformatics and Data-Intensive Sciences,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Infectious Diseases Institute, College of Health Sciences, Makerere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P.O Box 22418, Kampala, Uganda.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(7)Africa Centres for Disease Control and Prevention, African Union Commission,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P.O Box 3243, Roosevelt Street, Addis Ababa, W21 K19, Ethiopia.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Isoniazid-resistant, Rifampicin-susceptible Tuberculosis (TB) 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estimated to occur in 13% of new cases and 17% of previously treated cases.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Current WHO guidelines recommend treatment with Rifampicin (RFP), ethambutol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(EMB, E), pyrazinamide (PZA, Z), and levofloxacin (LFX, Q) for 6 months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patients with isoniazid mono-resistant TB (Hr-TB) but the effectiveness and use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other regimens in managing Hr-TB has not been established. There is a need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pay increased attention to the timely identification of Hr-TB patients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improve treatment success along with the reduction of the risk for further drug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resistance development. This study was performed to determine the treatment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outcomes and their associated factors among isoniazid mono-resistant TB patients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 Uganda.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This was a cross-sectional study performed among newly diagnosed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retreatment TB patients whose sputum samples were referred to the National 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Reference Laboratory (NTRL)-Uganda from March 2017 to March 2022. Patient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samples exhibiting Isoniazid mono-resistance as determined by phenotypic drug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resistance testing (DST) were included in this study. Samples with data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incompleteness and those whose treatment centers could not be traced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excluded from the study. Selected samples were tested for mutations associated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Isoniazid resistance using line probe. Patient demographic data was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obtained from the National TB Reference Laboratory (NTRL) electronic data system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request forms with additional data, such as treatment regimen, adverse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effects, and treatment start dates obtained from treatment registers.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independent variables available (age, sex, regimen used, M.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mutation genes for isoniazid, specifically InhA and KatG, history of TB, HIV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status, and reporting year) were assessed as possible factors in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relationship between Hr-TB and treatment success.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 total of 85 isoniazid monoresistant isolates from different patients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were analyzed in this study. In this study, most of the participants belonged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category of newly diagnosed 35/85 (41.2%). Most of the participants 36/85,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42.3%) turned culture negative at month one upon initiation of treatment.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findings from this study show that the most dominant Mycobacterium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mutation occurred in the KatG MUT1 region with a nucleotide change of S315T1.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There was no significant treatment outcome difference among the different age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groups in this study when compared (unsuccessful Vs successful treatment, median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age 35.4 years and 35.86 years, p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0.078). However, the study found that most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deaths were among people aged above 36 years 71.4%, (5/7 participants).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B6060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This study revealed Isoniazid mono-resistant TB as a significant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factor associated with delayed culture conversion of beyond two (2) months.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emphasizes the need for prompt detection using routine point-of-care testing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molecular diagnostic platforms to test for Isoniazid and Rifampicin resistance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to improve TB treatment outcomes and reduce failures.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CLINICAL TRIAL NUMBER: Not applicable.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10.1186/s12879-025-11218-5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PMC12210759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40597784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. BMC Infect Dis. 2025 Jul 1;25(1):870. doi: 10.1186/s12879-025-11228-3.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Forecasting tuberculosis in Ethiopia using deep learning: progress toward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sustainable development goal evidence from global burden of disease 1990-2021.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Tadese ZB(1), Arage FG(2)(3), Tsegaw TK(2)(3), Alemu EA(2)(3), Abate TG(4), Taye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EA(5).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Health Informatics, College of Medicine and Health Sciences,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Samara University, Semera, Ethiopia. zinabubekele12@gmail.com.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Public Health Officer, Institute of Public Health, College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 and Health Sciences, University of Gondar, Gondar, Ethiopia.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Epidemiology and Biostatistics, Institute of Public Health,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College of Medicine and Health Sciences, University of Gondar, Gondar, Ethiopia.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Maternal and Child health, Lemi kura Subcity Health Office,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Addis Ababa City Administration Health Bureau, Addis Ababa, Ethiopia.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 of Health Informatics, Institute of Public Health, College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 and Health Sciences, University of Gondar, Gondar, Ethiopia.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(TB) is a preventable and treatable disease caused by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tuberculosis, which most often affects lungs and remains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second leading cause of death from infectious diseases worldwide. The National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End TB Strategy aims to eliminate the TB epidemic by reducing TB-related deaths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by 95% and decreasing incident TB cases by 90% by 2030, using 2015 as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baseline. Tuberculosis is the primary cause of morbidity, ranks third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hospital admissions, and is the second leading cause of death in Ethiopia,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following malaria. Hence, this analysis aims to forecast and provide evidence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that supports the combined intervention to monitor TB incidence in Ethiopia's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progress toward the Sustainable Development Goals.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Study employed secondary data analysis from the Global Burden of Disease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database (1990-2021) to forecast tuberculosis incidence in Ethiopia. LSTM-based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models, including multistep LSTM and hybrid ARIMA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+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LSTM, were implemented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prediction in TensorFlow frameworks while ARIMA model was built using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statsmodels and pmdarima libraries using the Python programming language.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statistical significance level was set at 0.05 to check data stationarity. Model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performance was evaluated using Root Mean Squared Error, Mean Absolute Error,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Mean Absolute Percentage Error, and Symmetric Mean Absolute Percentage Error.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Finally, the best model was used to forecast the next 9 years from 2021 to 2030.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According to GBD data, the incidence of TB in Ethiopia shows a long-term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downward trend, decreasing from 466.93 cases per 100,000 in 1990 to 185.53 by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2021. The analysis result revealed that multistep LSTM model outperformed all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achieving MAE: 5.53, RMSE: 6.74, MAPE: 2.72% and sMAPE:2.76%. The incidence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in Ethiopia is projected to decline slightly through 2030,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according to a multi-step LSTM model. The forecast estimates that the 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incidence will be 189 cases per 100,000 people by 2025, decreasing further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179 by 2030.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Overall, the analysis indicates that Ethiopia is still falling short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the national "END TB strategy" goal of 90% reduction in TB incidence cases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 100,000 population by 2030. It highlights the necessity for Ethiopia's 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control strategies to improve access to prevention, early diagnosis,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treatment, focusing on high-risk groups and vulnerable populations.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10.1186/s12879-025-11228-3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PMC12218079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40597736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. BMC Infect Dis. 2025 Jul 1;25(1):878. doi: 10.1186/s12879-025-11249-y.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delivery of new tuberculosis vaccines to people living with HIV - when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vaccinate?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Sumner T(1)(2)(3), Clark RA(4)(5)(6), Prys-Jones TO(4)(5)(6), Bakker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R(4)(5)(6)(7), Churchyard G(8)(9)(10), White RG(4)(5)(6).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(1)TB Modelling Group and TB Centre, London School of Hygiene and Tropical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Keppel Street, London, UK. tom.sumner@lshtm.ac.uk.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(2)Centre for the Mathematical Modelling of Infectious Diseases, London School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of Hygiene and Tropical Medicine, London, UK. tom.sumner@lshtm.ac.uk.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 Epidemiology, London School of Hygiene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Tropical Medicine, London, UK. tom.sumner@lshtm.ac.uk.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(4)TB Modelling Group and TB Centre, London School of Hygiene and Tropical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Keppel Street,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(5)Centre for the Mathematical Modelling of Infectious Diseases, London School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of Hygiene and Tropical Medicine,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Infectious Disease Epidemiology, London School of Hygiene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(7)KNCV Tuberculosis Foundation, The Hague, Netherlands.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(8)The Aurum Institute, Johannesburg, 2041,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(9)School of Public Health, University of Witwatersrand, Johannesburg, South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(10)Department of Medicine, Vanderbilt University, Nashville, TN,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Tuberculosis (TB) remains a major cause of morbidity and mortality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people living with HIV (PLHIV). New TB vaccines may help reduce this burden.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There is limited data on the response to new TB vaccines in PLHIV and how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may vary with levels of immunosuppression and anti-retroviral therapy (ART).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potential interaction between vaccine efficacy and ART raises questions about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the optimum timing of vaccination against TB in PLHIV.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Using a simple cumulative risk model, we compared the impact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different TB vaccination strategies for PLHIV. We compared the impact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vaccinating at linkage to HIV care, to the impact of vaccinating at ART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initiation. We explored how the optimum timing of vaccination depends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characteristics of the vaccine and the ART program at an individual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population level.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For an individual, the optimum timing of vaccination against TB is 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ART initiation unless the time to ART initiation is more than 6 months or if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reduction in vaccine efficacy when given prior to ART is small. At a population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level, the proportion of PLHIV who initiate ART is a key determinate of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optimum strategy. If ART uptake is low, it would be better to vaccinate 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linkage to HIV care, even if vaccine efficacy in ART naïve individuals is less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than 50% of efficacy in individuals on ART.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Our results suggest that the optimum timing of new TB vaccination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PLHIV will depend on the relative efficacy of vaccination in ART-naïve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individuals vs. individuals on ART, and the uptake and timing of ART initiation.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If vaccine efficacy is lower among ART-naïve individuals, improvements in HIV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programs may help maximize the impact of new TB vaccines.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SUPPLEMENTARY INFORMATION: The online version contains supplementary material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available at 10.1186/s12879-025-11249-y.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10.1186/s12879-025-11249-y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PMC12217277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40597701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. BMC Infect Dis. 2025 Jul 1;25(1):856. doi: 10.1186/s12879-025-11224-7.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Time to a tuberculosis treatment cure and its predictors among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patients at public health facilities in Arba minch town, South Ethiopia: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retrospective cohort study.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Zeruma DD(1), Kote M(2), Zerihun E(2), Gedabo G(3), Wogayehu B(4).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(1)Health Informatics Department, Arba Minch College of Health Sciences, Arba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Minch town, Southern State, Ethiopia.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(2)Public health department, Arba Minch town, Arba Minch University College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Health Sciences, Arba Minch town, Southern State, Ethiopia.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(3)Nursing Department, Arba Minch College of Health Sciences, Arba Minch town,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Southern State, Ethiopia.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(4)Public health department, Arba Minch College of Health Sciences, Arba Minch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town, Southern State, Ethiopia. biruk900zelalem@gmail.com.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 WHO’s 2024 Global tuberculosis (TB) Report shows that 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causes 1.25 million deaths annually, including 161</w:t>
      </w:r>
      <w:r w:rsidR="002A7D07">
        <w:rPr>
          <w:rFonts w:ascii="宋体" w:eastAsia="宋体" w:hAnsi="宋体" w:cs="宋体"/>
          <w:color w:val="000000" w:themeColor="text1"/>
          <w:szCs w:val="24"/>
        </w:rPr>
        <w:t xml:space="preserve">,000 TB-Human Immunodeficiency </w:t>
      </w:r>
      <w:r w:rsidRPr="00EA7B5C">
        <w:rPr>
          <w:rFonts w:ascii="宋体" w:eastAsia="宋体" w:hAnsi="宋体" w:cs="宋体"/>
          <w:color w:val="000000" w:themeColor="text1"/>
          <w:szCs w:val="24"/>
        </w:rPr>
        <w:t>Virus (HIV) infections. It affects 10.6 mill</w:t>
      </w:r>
      <w:r w:rsidR="002A7D07">
        <w:rPr>
          <w:rFonts w:ascii="宋体" w:eastAsia="宋体" w:hAnsi="宋体" w:cs="宋体"/>
          <w:color w:val="000000" w:themeColor="text1"/>
          <w:szCs w:val="24"/>
        </w:rPr>
        <w:t xml:space="preserve">ion people, mainly in Asia and </w:t>
      </w:r>
      <w:r w:rsidRPr="00EA7B5C">
        <w:rPr>
          <w:rFonts w:ascii="宋体" w:eastAsia="宋体" w:hAnsi="宋体" w:cs="宋体"/>
          <w:color w:val="000000" w:themeColor="text1"/>
          <w:szCs w:val="24"/>
        </w:rPr>
        <w:t>Africa, 75% of whom are in the economically ac</w:t>
      </w:r>
      <w:r w:rsidR="002A7D07">
        <w:rPr>
          <w:rFonts w:ascii="宋体" w:eastAsia="宋体" w:hAnsi="宋体" w:cs="宋体"/>
          <w:color w:val="000000" w:themeColor="text1"/>
          <w:szCs w:val="24"/>
        </w:rPr>
        <w:t xml:space="preserve">tive age group of 15–54 years. </w:t>
      </w:r>
      <w:r w:rsidRPr="00EA7B5C">
        <w:rPr>
          <w:rFonts w:ascii="宋体" w:eastAsia="宋体" w:hAnsi="宋体" w:cs="宋体"/>
          <w:color w:val="000000" w:themeColor="text1"/>
          <w:szCs w:val="24"/>
        </w:rPr>
        <w:t>Treatment interruptions hinder efforts to eliminate TB by 2030. Accord</w:t>
      </w:r>
      <w:r w:rsidR="002A7D07">
        <w:rPr>
          <w:rFonts w:ascii="宋体" w:eastAsia="宋体" w:hAnsi="宋体" w:cs="宋体"/>
          <w:color w:val="000000" w:themeColor="text1"/>
          <w:szCs w:val="24"/>
        </w:rPr>
        <w:t xml:space="preserve">ing to a </w:t>
      </w:r>
      <w:r w:rsidRPr="00EA7B5C">
        <w:rPr>
          <w:rFonts w:ascii="宋体" w:eastAsia="宋体" w:hAnsi="宋体" w:cs="宋体"/>
          <w:color w:val="000000" w:themeColor="text1"/>
          <w:szCs w:val="24"/>
        </w:rPr>
        <w:t>recent systematic review conducted using Ethiop</w:t>
      </w:r>
      <w:r w:rsidR="002A7D07">
        <w:rPr>
          <w:rFonts w:ascii="宋体" w:eastAsia="宋体" w:hAnsi="宋体" w:cs="宋体"/>
          <w:color w:val="000000" w:themeColor="text1"/>
          <w:szCs w:val="24"/>
        </w:rPr>
        <w:t xml:space="preserve">ian studies indicated that the </w:t>
      </w:r>
      <w:r w:rsidRPr="00EA7B5C">
        <w:rPr>
          <w:rFonts w:ascii="宋体" w:eastAsia="宋体" w:hAnsi="宋体" w:cs="宋体"/>
          <w:color w:val="000000" w:themeColor="text1"/>
          <w:szCs w:val="24"/>
        </w:rPr>
        <w:t>pooled prevalence of TB treatment cure rate</w:t>
      </w:r>
      <w:r w:rsidR="002A7D07">
        <w:rPr>
          <w:rFonts w:ascii="宋体" w:eastAsia="宋体" w:hAnsi="宋体" w:cs="宋体"/>
          <w:color w:val="000000" w:themeColor="text1"/>
          <w:szCs w:val="24"/>
        </w:rPr>
        <w:t xml:space="preserve"> was 33.9%. There is a lack of </w:t>
      </w:r>
      <w:r w:rsidRPr="00EA7B5C">
        <w:rPr>
          <w:rFonts w:ascii="宋体" w:eastAsia="宋体" w:hAnsi="宋体" w:cs="宋体"/>
          <w:color w:val="000000" w:themeColor="text1"/>
          <w:szCs w:val="24"/>
        </w:rPr>
        <w:t>evidence on time to TB treatment cure in Ethiopia using survival analysis.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This study aimed to determine the time to TB treatment cure and its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predictors among TB patients from January 2021 to December 2023 at public health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facilities in Arba Minch town. South Ethiopia.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An institution-based retrospective cohort study was conducted among 628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selected TB patients who were admitted to the TB care unit at Arba Minch General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Hospital, Dilfana Primary Hospital, and both health centers from 2021 to 2023.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Kaplan Meier survival curve was fitted to test the survival time. The Cox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proportional hazards model was used to identify predictors with TB treatment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cure. Significance was considered at a p value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0.05 with an adjusted hazard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ratio (AHR) 95% CI in the multivariate analysis.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Out of the 628 patients whose records were analyzed, the median time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cure was 162 days. The significant predictors of time to TB cure included being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male (AHR 0.3, 95% CI: 0.35–0.95), history of TB treatment (AHR 0.56, 95% CI: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0.35–0.95), normal BMI (AHR 1.04, 95% CI: 1.32–1.49) and attending at secondary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heath facility (AHR 1.69, 95% CI: 1.40–2.00).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2A7D07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Socio-demographic and clinical related factors were found to be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independent predictors of time to cure. TB control programs should adopt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gender-sensitive approaches to address delayed cure in male patients, integrate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nutritional assessment into care and strengthen primary health facilities.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10.1186/s12879-025-11224-7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PMC12220455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40597695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2. Sci Rep. 2025 Jul 1;15(1):22264. doi: 10.1038/s41598-025-06532-6.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MIP-3α-antigen fusion DNA vaccine enhances sex differences in tuberculosis model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alters dendritic cell activity early post vaccination.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Gordy JT(#)(1), Bates RE(#)(2), Glass E(2), Meza J(2), Li Y(2), Schill C(2),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Taylor AD(2), Wang T(2), Chen F(2), Plunkett K(2), Karanika S(3), Karakousis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PC(3), Markham RB(2).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Molecular Microbiology and Immunology, Johns Hopkins School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Public Health, Baltimore, MD, USA. jgordy2@jhu.edu.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Molecular Microbiology and Immunology, Johns Hopkins School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Public Health, Baltimore, MD,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Medicine, Division of Infectious Diseases, Center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Research, Johns Hopkins University School of Medicine, Baltimore,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MD,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disease (TB) caused by Mycobacterium tuberculosis (Mtb) bacteria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remains a major cause of global morbidity and mortality. Efforts to control 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are hampered by the lengthy and cumbersome treatment required to eradicate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Mtb infection. Bacterial persistence during exposure to bactericidal antibiotics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 at least partially mediated by the bacterial stringent response enzyme,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RelMtb. A therapeutic DNA vaccine targeting RelMtb has been shown to increase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efficacy of antitubercular drugs, and fusing macrophage-inflammatory protein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3α (MIP-3α), which interacts with CCR6 on immature dendritic cells (iDCs),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RelMtb further increases the vaccine's therapeutic efficacy. A secondary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analysis of these prior studies elucidated prominent sex-based differences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vaccine therapeutic efficacy, with female mice showing improved microbial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outcomes compared to males as a result of the Rel and MIP-3α-Rel vaccine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constructs, with a more pronounced sex-associated difference in the MIP-3α-Rel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group. In the current study, we addressed the hypothesis that these sex-related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differences are at least in part due to differential DC activation/function soon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after vaccination. An EαGFP reporter vaccine model was used to track vaccine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antigen presentation in the draining node with flow cytometry panels by 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antibody Y-Ae which binds the Eα peptide tag in complex with I-Ab MHC-II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molecules. Additionally, a qRT-PCR panel assessing DC-related genes compared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sexes receiving the MIP-3α-Rel vaccine. MIP-3α-EαGFP groups had more DCs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presenting vaccine antigen infiltrating from the periphery, with more abundant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Langerhans cells in males and greater CD8+ CD103+ cross-presenting dermal DCs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females. This model also shows there is greater DC activation, as measured by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CD80 and MHC II MFI, by MIP-3α compared to EαGFP alone, especially in female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mice. The genetic panel showed females more enriched for chemokines and genes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related to cell movement and cross-presentation. Our findings are consistent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the sex- and MIP-3α-related differences seen in the therapeutic model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supports the hypothesis that in both sexes MIP-3α enhances vaccine uptake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cell activation by peripheral iDCs. Additionally, female mice showed greater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levels of antigen presentation, especially in DCs able to cross-present antigen,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likely explaining why they had the best outcomes. Further studies are required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 understand underlying mechanisms and to link APC results directly to T-cell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responses.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lastRenderedPageBreak/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10.1038/s41598-025-06532-6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PMC12218986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40596433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3. Sci Rep. 2025 Jul 1;15(1):21383. doi: 10.1038/s41598-025-05644-3.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Development and optimization of an injectable in-situ gel system for sustained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release of anti-tuberculosis drugs.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Balu P(1), Srikanth S(2), Gnandhas DP(3), Durai RD(4), Ulaganathan V(2), 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Narayanan VH(5).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(1)Pharmaceutical Technology Laboratory, School of Chemical and Biotechnology,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SASTRA Deemed University, Thanjavur, Tamil Nadu,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(2)Molecular Motors Laboratory, Department of Biotechnology, SASTRA Deemed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University, Thanjavur, Tamil Nadu,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Pharmacology and Experimental Neuroscience,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Nebraska Medical Center, Omaha, NE,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(4)Pharmaceutical Technology Laboratory, School of Chemical and Biotechnology,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SASTRA Deemed University, Thanjavur, Tamil Nadu, India. ramya@scbt.sastra.edu.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(5)Pharmaceutical Technology Laboratory, School of Chemical and Biotechnology,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SASTRA Deemed University, Thanjavur, Tamil Nadu, India.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vedhahari@scbt.sastra.edu.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Addressing the challenges of drug-resistant Mycobacterium tuberculosis requires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regular drug intake and consistent therapeutic drug concentrations, for which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in-situ gel systems offer a promising solution by enabling sustained drug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release. This study aims to develop an injectable system for chronic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treatment, focusing on an in-situ gel formulation created using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Poloxamer 407, Carbopol 940, and Hydroxy Propyl Methyl Cellulose (HPMC).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experiments involved a combination of two FDA-approved first-line anti-TB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molecules, namely Rifampicin (RIF) and Isoniazid (INZ), by loading in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in-situ gel (IGS) formulations prepared by cold process. The gelling polymers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were varied at three levels of concentration and optimized through the molecular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docking method, wherein the blend of polymers with drugs showed the docking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score of - 3.085. The physicochemical properties and analytical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characterization, including gelation temperature, drug content, FT-IR, SEM,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TG-DSC, in-vitro drug release, ex-vivo permeation, and cytotoxicity,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performed. According to the study results, the optimized gelation temperature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was 26 °C, the viscosity of the sol and gel was 238 cP and 1700 cP,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respectively, with the maximum drug content (RIF 100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2.17% and INZ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97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1.31%). The FTIR analysis confirmed the stability of drugs,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morphological study using SEM showed the formation of a network structure,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thermal analysis by TG-DSC confirmed the solid-state transition of drugs.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in-vitro drug release studies in phosphate buffer pH 7.4 showed sustained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release of Rifampicin and Isoniazid for up to 10 days and 6 days, respectively.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selected formulation exhibited non-toxic effects in the L929 cell line.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Based on the results, in-situ gel administration could be recommended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intramuscular administration for sustained release of the drugs, which 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expected to reduce the dosing frequency and improve patient compliance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chronic tuberculosis therapy.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10.1038/s41598-025-05644-3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PMC12215346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</w:t>
      </w:r>
      <w:r w:rsidR="002A7D07">
        <w:rPr>
          <w:rFonts w:ascii="宋体" w:eastAsia="宋体" w:hAnsi="宋体" w:cs="宋体"/>
          <w:color w:val="000000" w:themeColor="text1"/>
          <w:szCs w:val="24"/>
        </w:rPr>
        <w:t xml:space="preserve"> 40595921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4. Sci Rep. 2025 Jul 1;15(1):21746. doi: 10.1038/s41598-025-04038-9.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identification Mycobacterium tuberculosis genes that modulate long term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survival in the presence of rifampicin and streptomycin.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Toloza JEH(1), Xu Y(1), Mendum TA(1), Siedler BS(1), Casey R(1), Wu H(2),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Williams K(1), Hingley-Wilson S(3), McFadden J(4).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Microbial Sciences, School of Biosciences, Faculty of Health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Medical Sciences, University of Surrey, Guildford,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(2)Bioinformatics Facility, Faculty of Health and Medical Sciences, University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of Surrey, Guildford,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Microbial Sciences, School of Biosciences, Faculty of Health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Medical Sciences, University of Surrey, Guildford, UK.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s.hingley-wilson@surrey.ac.uk.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Microbial Sciences, School of Biosciences, Faculty of Health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Medical Sciences, University of Surrey, Guildford, UK.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j.mcfadden@surrey.ac.uk.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2023, Mycobacterium tuberculosis (Mtb) caused 10.6 million new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cases and 1.3 million deaths. The WHO proscribed treatment is not always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successful, even when strains were sensitive to the antibiotics.as clinical Mtb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populations contain phenotypically tolerant subpopulations, termed persisters.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Here a Mtb transposon library was challenged with rifampicin (RIF)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streptomycin (STM) under conditions designed to identify genes that modulate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persister frequency. Mutants with reduced survival in RIF were predominantly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genes associated with membrane integrity e.g. arabinogalactan assembly genes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cpsA/lytR/Psr, whilst for STM, reduced survival was associated with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toxin/antitoxin genes. Some mutations enhanced survival. For RIF these included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methyl citrate cycle genes prpC, prpD and prpR, and the trkA-C K+ uptake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system genes ceoB and Rv2690, and for STM, the resistance associated gene, gidB,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anion-transport genes Rv3679c and Rv3680c. Few genes overlapped the RIF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STM selections, demonstrating that survival mechanisms were antibiotic-specific.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Directed deletions of ΔprpD and ΔfadE5 confirmed their predicted enhanced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reduced RIF fitness respectively. The study identified genes that modulate not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only persister frequency but also resistance and tolerance, and demonstrates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that the mechanisms that produce these phenotypes are diverse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antibiotic-specific.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10.1038/s41598-025-04038-9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PMC12216072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40595703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5. Sci Rep. 2025 Jul 2;15(1):22687. doi: 10.1038/s41598-024-81558-w.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Quantification of tuberculosis exposure in a high-burdened setting.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Patterson B(1), Hermans S(2)(3), Wood R(4)(5), Cobelens F(2).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Global Health and Amsterdam Institute for Global Health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Development, Amsterdam UMC Location University of Amsterdam, Amsterdam,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Netherlands. patterson.b@unic.ac.cy.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Global Health and Amsterdam Institute for Global Health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Development, Amsterdam UMC Location University of Amsterdam, Amsterdam,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(3)Centre for Tropical and Travel Medicine, Amsterdam UMC Location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Amsterdam, Amsterdam, The Netherlands.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(4)Institute of Infectious Disease and Molecular Medicine, Faculty of Health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Sciences, University of Cape Town, Cape 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(5)Desmond Tutu Health Foundation, Cape 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Recent studies using sensitive aerosol sampling and detection methodologies,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have enumerated aerosolized Mycobacterium tuberculosis (Mtb) across a spectrum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tuberculosis states in a high-burdened setting. To estimate the Mtb exposure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rate we used a Bayesian inference approach to fit a reversible catalytic model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 age-specific, respiratory bioaerosol Mtb prevalence data. Longitudinal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monitoring of symptomatic sputum-negative, untreated clinic attendees informed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prior for the Mtb bioaerosol clearance rate. Based on an observed bioaerosol Mtb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population prevalence of 62.6% and a clearance half-life of 83 days,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estimated exposure rate was 5.1/year. This result was extremely sensitive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bioaerosol Mtb population prevalence but including a simulated rate of exposure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zero until the age of 10-years did not influence the overall estimate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rate of exposure. A catalytic model without reversion was a poorer fit to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prevalence data than the primary reverse catalytic model. Mtb bioaerosol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sampling findings imply an extremely high rate of Mtb exposure within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endemic communities with rapid cycling between bioaerosol carriage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clearance. Even assuming a much lower bioaerosol Mtb population prevalence,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estimated exposure rate is an order of magnitude greater than published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annual rates of Mtb infection.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2024.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10.1038/s41598-024-81558-w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PMC12218470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40595677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6. J Antibiot (Tokyo). 2025 Jul 1. doi: 10.1038/s41429-025-</w:t>
      </w:r>
      <w:r w:rsidR="002A7D07" w:rsidRPr="002A7D07">
        <w:rPr>
          <w:rFonts w:ascii="宋体" w:eastAsia="宋体" w:hAnsi="宋体" w:cs="宋体"/>
          <w:b/>
          <w:color w:val="FF0000"/>
          <w:szCs w:val="24"/>
        </w:rPr>
        <w:t xml:space="preserve">00839-2. Online ahead of 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 drug development; fluoroquinolone structural tailoring.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Gutiérrez-Mauricio AM(#)(1)(2), Trujillo-Paez JV(#)(3), Trejo-Martinez LA(4),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Rivas-Santiago B(2), Pérez-García P(2), Noriega S(1), López-Ramos JE(5),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Cardoso-Ortiz J(6), Rodríguez-Carlos A(7).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(1)Unidad Académica de Ciencias Químicas, Universidad Autónoma de Zacatecas,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Zacatecas, Mexico.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(2)Biomedical Research Unit-Zacatecas, Mexican Institute for Social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Security-IMSS, Zacatecas, Mexico.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(3)CONAHCYT- Biomedical Research Unit-Zacatecas, Mexican Institute for Social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Security-IMSS, Zacatecas, Mexico.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(4)Oncólogico Potosino, Clinical Reseach Site, San Luis Potosí, SLP, Mexico.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(5)Centro de Estudios Científicos y Tecnológicos 18 Zacatecas, Instituto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Politécnico Nacional, Zacatecas, Mexico.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(6)Unidad Académica de Ciencias Químicas, Universidad Autónoma de Zacatecas,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Zacatecas, Mexico. jaimecardoso@uaz.edu.mx.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(7)Biomedical Research Unit-Zacatecas, Mexican Institute for Social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Security-IMSS, Zacatecas, Mexico. rdz.carlos09@hotmail.com.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(TB) is a contagious infectious disease caused by the bacillus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(Mtb). It is transmitted through small particles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the air (&lt;5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m) expelled by active tuberculosis patients; when inhaled by a new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host, they can potentially cause infection. Nowadays, TB is still the major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cause of morbidity and mortality by a single infectious agent, this is further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exacerbated by the worldwide emergence of multidrug-resistant strains of Mtb.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Thus, effective methods of diagnosis, prophylaxis, and new pharmacological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therapies must be carried out in order to control this disease. Fluoroquinolones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(FQ) are synthetic antibiotics with a broad spectrum against Gram-negative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Gram-positive bacteria, including M. tuberculosis. The treatment with FQ plays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 important role in managing drug-resistant tuberculosis. Modifications on FQ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structure have been extensively studied, thereby, four generations of FQ have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emerged having a broad spectrum of antibacterial properties. These modifications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improve the overall efficiency of FQ by increasing tissue penetration, reducing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side effects, and addressing emerging bacterial resistance. In this scenario,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current trends on FQ research have focused on new synthetic approaches that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allow fluoroquinolones to address the worldwide issue of multidrug-resistant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tuberculosis. The aim of this review is to highlight the overall effects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newly synthesized FQ molecules having antitubercular activity.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the Japan Antibiotics Research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Association.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10.1038/s41429-025-00839-2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40595331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7. Sci Rep. 2025 Jul 2;15(1):22540. doi: 10.1038/s41598-025-06164-w.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Comparing the accuracy of computer-aided detection (CAD) software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radiologists from multiple countries for tuberculosis detection in chest X-Rays.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Qin ZZ(1)(2)(3), Van der Walt M(4), Moyo S(5), Ismail F(6), Maribe P(5),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Denkinger CM(7), Zaidi S(8), Barrett R(8)(9), Mvusi L(10), Tsibolane Y(10),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Mkhondo N(11), Zuma K(5), Manda S(4), Koeppel L(7), Mthiyane T(4), Creswell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J(8).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(1)Stop TB Partnership, Geneva, Switzerland. zhizhen.qin@gmail.com.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 and Tropical Medicine, Heidelberg University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Hospital, German Center for Infection Research, Heidelberg, Germany.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zhizhen.qin@gmail.com.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(3)Global Impact Solutions International, Dubai, United Arab Emirates.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zhizhen.qin@gmail.com.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(4)South Africa Medical Research Council, Pretoria,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(5)Human Sciences Research Council, Human and Social Capabilities Division, Cape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(6)National Institute for Communicable Diseases, Pretoria,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Infectious Disease and Tropical Medicine, Heidelberg University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Hospital, German Center for Infection Research, Heidelberg, Germany.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(8)Stop TB Partnership, Geneva, Switzerland.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(9)Global Impact Solutions International, Dubai, United Arab Emirates.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(10)South African National Department of Health, Pretoria,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(11)World Health Organization, Pretoria,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Nearly a third of TB cases go undetected annually. WHO recommends computer-aided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detection (CAD) to enhance TB screening, with studies showing comparable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performance to local radiologists. Using 774 chest X-rays from the South African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National TB Prevalence Survey, we compared 12 CAD software with 11 radiologists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from Nigeria, India, the UK, and the US, against a composite microbiological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reference standard. Sensitivity, specificity and Cohen's kappa were calculated.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Receiver-operating characteristic curves were developed for CAD and Euclidean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distance assessed radiologists' alignment with the best-performing software.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Binomial regression tested the impact of radiologists' characteristics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accuracy. Radiologist performance varied. On the restricted read, British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radiologists had the highest sensitivity (78.7% [73.2-83.5%]) and Indian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radiologists the lowest (67.1% [61.0-72.8%]). Specificity ranged from 75.8%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(71.8-79.4%, Nigeria) to 84.3% (80.9-87.3%, the US). Radiologist performance was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significantly impacted by HIV, prior TB, and age. The top CAD outperformed all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except Indian radiologists when matching specificity. CAD with Conformité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Européenne generally matched or surpassed radiologists. British radiologists'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sensitivity was closest to the top CAD, while American radiologists were closest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specificity and overall. Experience, TB reads, and country had no significant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impact on accuracy. CAD performed well against radiologists globally,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highlighting potential to enhance access to care.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10.1038/s41598-025-06164-w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PMC12215708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40594615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2A7D07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EA7B5C" w:rsidRPr="002A7D07">
        <w:rPr>
          <w:rFonts w:ascii="宋体" w:eastAsia="宋体" w:hAnsi="宋体" w:cs="宋体"/>
          <w:b/>
          <w:color w:val="FF0000"/>
          <w:szCs w:val="24"/>
        </w:rPr>
        <w:t>. Nat Commun. 2025 Jul 1;16(1):5993. doi: 10.1038/s41467-025-60847-6.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Evolutionarily divergent Mycobacterium tuberculosis CTP synthase filaments are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under selective pressure.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Lynch EM(1), Lu Y(2), Park JH(2), Shao L(3), Kollman JM(4), Rego EH(5).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(1)Department of Biochemistry, University of Washington, Seattle, WA,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Microbial Pathogenesis, Yale University School of Medicine, New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Haven, CT,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(3)Center for Neurodevelopment and Plasticity, Wu Tsai Institute, Yale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University, New Haven, CT,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Biochemistry, University of Washington, Seattle, WA, USA.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jkoll@uw.edu.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 of Microbial Pathogenesis, Yale University School of Medicine, New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Haven, CT, USA. hesper.rego@yale.edu.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final and rate-limiting enzyme in pyrimidine biosynthesis, cytidine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triphosphate synthase (CTPS), is essential for the viability of Mycobacterium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and other mycobacteria. Its product, cytidine triphosphate (CTP),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 critical for RNA, DNA, lipid and cell wall synthesis, and is involved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chromosome segregation. In various organisms across the tree of life, CTPS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assembles into higher-order filaments, leading us to hypothesize that M.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CTPS (mtCTPS) also forms higher-order structures. Here, we show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that mtCTPS does assemble into filaments but with an unusual architecture not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seen in other organisms. Through a combination of structural, biochemical,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cellular techniques, we show that polymerization stabilizes the active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conformation of the enzyme and resists product inhibition, potentially allowing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the highly localized production of CTP within the cell. Indeed, CTPS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filaments localize near the CTP-dependent complex needed for chromosome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segregation, and cells expressing mutant enzymes unable to polymerize are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altered in their ability to robustly form this complex. Intriguingly, mutants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that inhibit filament formation are under positive selection in clinical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isolates of M. tuberculosis, pointing to a critical role needed to withstand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pressures imposed by the host and/or antibiotics. Taken together, our data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reveal an unexpected mechanism for the spatially organized production of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critical nucleotide in M. tuberculosis, which may represent a vulnerability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the pathogen that can be exploited with chemotherapy.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10.1038/s41467-025-60847-6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PMC12219555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40593557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PLoS Pathog. 2025 Jul 1;21(7):e1012632. doi: 10.1371/journal.ppat.1012632.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Disruption of riboflavin biosynthesis in mycobacteria establishes riboflavin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pathway intermediates as key precursors of MAIT cell agonists.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Chengalroyen MD(1), Oketade N(2), Worley A(3), Lucas M(2), Ramirez LMN(2),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Raphela ML(1), Swarbrick GM(3), Soma PS(2), Zuma M(1), Warner DF(1)(4),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Lewinsohn DA(5), Mehaffy C(2), Adams EJ(6), Hildebrand W(7), Dobos KM(2),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Mizrahi V(1)(4), Lewinsohn DM(3)(8).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(1)UCT Molecular Mycobacteriology Research Unit, Institute of Infectious Disease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Molecular Medicine &amp; Department of Pathology, University of Cape Town, Cape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Microbiology, Immunology and Pathology, Colorado State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University, Fort Collins, Colorado,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Pulmonary, Allergy &amp; Critical Care Medicine, Oregon Health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Science University, Portland, Oregon,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(4)Wellcome Centre for Infectious Disease Research in Africa, University of Cape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Town, Cape 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(5)Division of Infectious Diseases, Oregon Health and Science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Portland, Oregon,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Biochemistry and Molecular Biology, University of Chicago,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Chicago, Illinois,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Microbiology and Immunology, University of Oklahoma Health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Sciences Centre, Oklahoma City, Oklahoma,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(8)Portland VA Medical Center, Portland, Oregon,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Mucosal-associated invariant T (MAIT) cells exhibit an intrinsic ability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recognize and respond to microbial infections. The semi-invariant antigen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recognition receptor of MAIT cells specifically detects the non-polymorphic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antigen-presenting molecule, major histocompatibility complex class I-related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protein 1 (MR1), which primarily binds riboflavin-derived metabolites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microbial origin. To further interrogate the dependence of these antigens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riboflavin biosynthesis in mycobacteria, we deleted individual genes in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riboflavin biosynthesis pathways in Mycobacterium smegmatis (Msm)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and evaluated the impact thereof on MAIT cell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activation. Blocking the early steps of the pathway by deletion of RibA2 or RibG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profoundly reduced, but did not completely ablate, MAIT cell activation by Msm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or Mtb, whereas deletion of RibC, which catalyzes the last step in the pathway,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had no significant effect. Interestingly, deletion of the lumazine synthase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(RibH) specifically enhanced MAIT cell recognition of Mtb whereas loss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lumazine synthase activity had no impact on MAIT cell activation by Msm. MAIT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cell activation by Msm was likewise unaffected by blocking the production of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MAIT cell antagonist, Fo (by inhibiting its conversion from the riboflavin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pathway intermediate, 5-amino-6-D-ribitylaminouracil (5-A-RU), through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deletion of fbiC). Together, these results confirm a central role for 5-A-RU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generating mycobacterial MR1 ligands and reveal similarities and differences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between Msm and Mtb in terms of the impact of riboflavin pathway disruption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MAIT cell activation.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Copyright: © 2025 Chengalroyen et al. This is an open access article distributed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10.1371/journal.ppat.1012632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40591719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PLoS One. 2025 Jul 1;20(7):e0327348. doi: 10.1371/journal.pone.0327348.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Mixed-methods study to assess delay among patients with tuberculosis in an urban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setting of Bangladesh.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Ahmed S(1), Biswas S(1)(2), Rahman T(1), Adel ASS(1), Shafique SMZ(1), Tamanna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R(1), Chowdhury KIA(1), Banu S(1).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(1)International Centre for Diarrhoeal Disease Research, Bangladesh (icddr, b),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Dhaka, Bangladesh.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(2)Rollins School of Public Health, Emory University, Atlanta, Georgia, United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(TB) regained its position as the leading cause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death globally from a single infectious disease agent in 2024. Delayed diagnosis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treatment hamper effective TB control. We investigated the duration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diagnostic and treatment delay along with the associated factors among people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with pulmonary TB in Bangladesh.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 mixed-method study was conducted between December'19 and March'21, 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icddr,b TB Screening and Treatment Centres (TBSTCs), Dhaka. We interviewed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people with TB (PWTB) seeking care at these TBSTCs using a structured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questionnaire to collect data on socio-demographic, clinical and healthcare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seeking behaviors. We used established frameworks to define stages of delay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associated factors. Qualitative interviews were conducted among a subset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participants to gain further insight into the factors associated with delay.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We enrolled 895 PWTB with mean (±SD) age 36.6 (±16.1) years; majority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participants were males (69.9%) and living in urban areas (82.3%). The median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(IQR) patient delay estimated was 47 (29-72) days, with diagnostic delay 45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(30-70) days and treatment delay 2 (2-4) days. The predictors of delay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those with diabetes (OR 2.0, 95% CI - 1.11, 3.42), who initially self-treated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(OR 2.1, 95% CI - 1.09, 3.88), and were bacteriologically diagnosed (OR 3.7, 95%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CI - 1.31, 10.46). Qualitative approach supported the quantitative findings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revealed the practice of visiting formal physicians during worsening illness,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neglecting to acknowledge signs or symptoms consistent with TB, lack of 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related knowledge, and financial insolvency as major reasons for delay.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Our findings showed that improper health-seeking behavior is one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major drivers of patient delay. Thus, targeted programmatic intervention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raise community awareness on TB and its care services with a special focus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informal providers can help reduce this delay.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Copyright: © 2025 Ahmed et al. This is an open access article distributed under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10.1371/journal.pone.0327348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PMC12212489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 40591627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. Chem Biol Drug Des. 2025 Jul;106(1):e70152. doi: 10.1111/cbdd.70152.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Vitro and In Silico Evaluation of Isatin-Derived Spirooxindoles 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Antituberculosis Drug Candidates.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 Lima FR(1), de Oliveira Viana J(1)(2), de Castro AC(1), Cristiano R(1)(2),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Perelló MA(3), Czeczot AM(3)(4), Bizarro CV(3)(4), Machado P(3)(4)(5), Basso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LA(3)(4)(5), Lima-Junior CG(1)(2), Rodrigues-Junior VDS(6), Weber KC(1)(2).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(1)Programa de Pós-Graduação em Química, Universidade Federal da Paraíba (UFPB),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João Pessoa,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(2)National Institute of Science and Technology on Molecular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Sciences-INCT-CiMol, João Pessoa,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(3)Centro de Pesquisas em Biologia Molecular e Funcional (CPBMF), Instituto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Nacional de Ciência e Tecnologia em Tuberculose (INCT-TB), Pontifícia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Universidade Católica do Rio Grande do Sul (PUCRS), Porto Alegre,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(4)Programa de Pós-Graduação em Biologia Celular e Molecular, Escola de Ciências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da Saúde e da Vida, PUCRS, Porto Alegre,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(5)Programa de Pós-Graduação em Medicina e Ciências da Saúde, PUCRS, Porto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Alegre,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(6)Programa de Pós-Graduação em Produtos Naturais e Sintéticos Bioativos,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Universidade Federal da Paraíba (UFPB), João Pessoa, Brazil.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threat, exacerbated by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multidrug-resistant Mycobacterium tuberculosis (MTB) strains. The development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new anti-TB agents is crucial. In this study, 17 isatin derivatives synthesized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by our research group were evaluated for their in vitro activity against MTB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strains and the two most potent compounds were assessed for cytotoxicity.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Additionally, molecular docking was performed against 22 MTB protein targets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explore possible mechanisms of action, and ADMET predictions were used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determine pharmacokinetic and pharmacodynamic suitability. Also, we investigated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activity of A15, A16, and A17 against two genetically characterized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multidrug-resistant clinical isolates (PT-12 and PT-20). As a result,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compounds A16 and A17 exhibited the highest anti-TB activity (MIC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10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both). Inverse molecular docking indicated the enzyme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enoyl-[acyl-carrier-protein] reductase as a potential biological target.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Cytotoxicity assays confirmed that A16 and A17 were non-toxic, and ADMET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predictions indicated suitable drug-like properties for anti-TB therapy.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Notably, A16 and A17 showed inhibitory effects against drug-resistant MTB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isolates, with minimum inhibitory concentrations (MICs) ranging from 10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20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M, suggesting their potential to overcome resistance mechanisms linked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mutations in katG and rpoB. These findings highlight A16 and A17 as promising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candidates for anti-TB agents, particularly against multidrug-resistant strains.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 The Author(s). Chemical Biology &amp; Drug Design published by John Wiley &amp;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Sons Ltd.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10.1111/cbdd.70152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PMC12212626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 40591553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. JMIRx Med. 2025 Jul 1;6:e66029. doi: 10.2196/66029.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Improving Tuberculosis Detection in Chest X-Ray Images Through Transfer Learning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Deep Learning: Comparative Study of Convolutional Neural Network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Architectures.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Mirugwe A(1), Tamale L(2), Nyirenda J(3).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(1)School of Public Health, Makerere University, Kawalya Kaggwa Close, Plot 20A,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Kampala, Uganda, 256 701120534.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(2)Faculty of Science and Technology, Victoria University, Kampala, Uganda.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Statistical Sciences, University of Cape Town, Cape Town, South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Tuberculosis (TB) remains a significant global health challenge, 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current diagnostic methods are often resource-intensive, time-consuming,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inaccessible in many high-burden communities, necessitating more efficient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accurate diagnostic methods to improve early detection and treatment outcomes.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This study aimed to evaluate the performance of 6 convolutional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neural network architectures-Visual Geometry Group-16 (VGG16), VGG19, Residual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Network-50 (ResNet50), ResNet101, ResNet152, and Inception-ResNet-V2-in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classifying chest x-ray (CXR) images as either normal or TB-positive. The impact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data augmentation on model performance, training times, and parameter counts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was also assessed.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 dataset of 4200 CXR images, comprising 700 labeled as TB-positive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3500 as normal cases, was used to train and test the models. Evaluation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metrics included accuracy, precision, recall, F1-score, and area under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receiver operating characteristic curve. The computational efficiency of each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model was analyzed by comparing training times and parameter counts.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VGG16 outperformed the other architectures, achieving an accuracy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99.4%, precision of 97.9%, recall of 98.6%, F1-score of 98.3%, and area under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receiver operating characteristic curve of 98.25%. This superior performance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 significant because it demonstrates that a simpler model can deliver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exceptional diagnostic accuracy while requiring fewer computational resources.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Surprisingly, data augmentation did not improve performance, suggesting that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original dataset's diversity was sufficient. Models with large numbers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parameters, such as ResNet152 and Inception-ResNet-V2, required longer training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times without yielding proportionally better performance.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Simpler models like VGG16 offer a favorable balance between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diagnostic accuracy and computational efficiency for TB detection in CXR images.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These findings highlight the need to tailor model selection to task-specific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requirements, providing valuable insights for future research and clinical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implementations in medical image classification.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Alex Mirugwe, Lillian Tamale, Juwa Nyirenda. Originally published in JMIRx Med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(https://med.jmirx.org).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10.2196/66029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40591399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Antimicrob Agents Chemother. 2025 Jul 1:e0009925. doi: 10.1128/aac.00099-25.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Population pharmacokinetics of pyrazinamide and isoniazid in plasma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cerebrospinal fluid from South African adults with tuberculous meningitis.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Calderin JM(#)(1), Wasserman S(#)(2)(3), Resendiz-Galvan JE(1), Abdelgawad N(1),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Davis A(2)(4)(5), Stek C(2), Wiesner L(1), Wilkinson RJ(2)(4)(6)(7), Denti P(1).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(1)Division of Clinical Pharmacology, Department of Medicine, University of Cape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Town, Cape Town, Republic of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(2)Wellcome Discovery Research Platforms in Infection, Centre for Infectious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Diseases Research in Africa, Institute of Infectious Disease and Molecular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University of Cape Town, Cape Town, Republic of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(3)Institute for Infection and Immunity, City St George's, University of London,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London, United Kingdom.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(4)The Francis Crick Institute, London, United Kingdom.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(5)Faculty of Life Sciences, University College London, London, United Kingdom.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(6)Division of Infectious Diseases and HIV Medicine, Department of Medicine,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of Cape Town, Cape Town, Republic of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Infectious Diseases, Imperial College London, London, United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Pyrazinamide and isoniazid are first-line drugs for tuberculous meningitis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(TBM), but limited information is available on their plasma pharmacokinetics,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particularly cerebrospinal fluid (CSF) penetration, in patients with TBM.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Any potential effect of co-administration with high-dose rifampicin, also being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evaluated in trials for TBM, is unknown. Understanding this is important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dose optimisation. We characterized pyrazinamide and isoniazid plasma and CSF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pharmacokinetics among adults enrolled in a phase 2 clinical trial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intensified antibiotic therapy for HIV-associated TBM. Participants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randomized to receive either standard TBM treatment (including rifampicin 10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mg/kg) or high-dose rifampicin (35 mg/kg) plus linezolid, with or without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aspirin. Plasma and lumbar CSF samples were collected on days 3 and 28 after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study enrollment, and drug concentrations were measured using liquid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chromatography-tandem mass spectrometry. Data were analysed using nonlinear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mixed-effects modeling. Forty-nine participants provided 414 plasma and 44 CSF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concentrations. Pyrazinamide CSF concentrations equilibrated with plasma with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half-life of 0.66 h and a pseudo-partition coefficient of 1.05. Isoniazid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concentrations equilibrated with a half-life of 3.87 h and a pseudo-partition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coefficient of 1.04. Pyrazinamide clearance increased by 30% from day 3 to day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28. NAT2 phenotype determined multi-modal isoniazid clearance. High-dose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rifampicin did not affect pyrazinamide or isoniazid plasma pharmacokinetics 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CSF penetration. Both drugs achieved exposure in CSF similar to plasma,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supporting their crucial role in TBM treatment. Plasma pharmacokinetics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pyrazinamide and isoniazid in TBM were consistent with previously reported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values in pulmonary tuberculosis, even when co-administered with high-dose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rifampicin.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10.1128/aac.00099-25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40590723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Monaldi Arch Chest Dis. 2025 Jun 30. doi: 10.4081/monaldi.2025.3442. Online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lastRenderedPageBreak/>
        <w:t>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Prevalence of tuberculosis infection among patients undergoing regular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hemodialysis: a multicenter study in Egypt.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Amin W(1), Nafea N(2), Abdel Sattar S(3), El Adawy M(3), Ragab N(4), Tohamy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A(5), Refaat L(6), Fouad GA(7), Abdel Samad G(8), El-Maradny YA(9), Ashmawy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(1)Chest Diseases General Administration, Ministry of Health and Population,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Cairo.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(2)Curative Sector, Ministry of Health and Population, Cairo.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(3)Sharkia Chest Hospital, Ministry of Health and Population, Sharkia.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(4)Maamora Chest Hospital, Ministry of Health and Population, Alexandria.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(5)Mahalla Chest Hospital, Ministry of Health and Population, Gharbia.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(6)Assuit Chest Hospital, Ministry of Health and Population, Assuit.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(7)Abbassia Chest Hospital, Ministry of Health and Population, Cairo.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(8)Menia Chest Hospital, Ministry of Health and Population, Menia.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(9)Pharmaceutical and Fermentation Industries Development Center, City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Scientific Research and Technological Applications (SRTA-City), New Borg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EL-Arab, Alexandria.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Dear Editor, About one-third of the human population is presently infected by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tuberculosis, and about 10% during their life develop active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 (TB) (5% during the first 2 years following infection)...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10.4081/monaldi.2025.3442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40590577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. J Clin Microbiol. 2025 Jul 1:e0058025. doi: 10.1</w:t>
      </w:r>
      <w:r w:rsidR="00394EE4">
        <w:rPr>
          <w:rFonts w:ascii="宋体" w:eastAsia="宋体" w:hAnsi="宋体" w:cs="宋体"/>
          <w:b/>
          <w:color w:val="FF0000"/>
          <w:szCs w:val="24"/>
        </w:rPr>
        <w:t xml:space="preserve">128/jcm.00580-25. Online ahead 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Waste to worth: diagnostic accuracy of Xpert MTB/XDR on contaminated liquid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cultures to salvage the detection of drug-resistant tuberculosis.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Ghebrekristos Y(#)(1)(2), Auma E(#)(1), Mahlobo Z(1), Venter R(1), Beylis N(3),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Achar J(1)(4), Derendinger B(1), Singh S(1)(2), Burger M(2), Opperman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C(1)(2)(3), Warren R(1), Theron G(1).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(1)DSI-NRF Centre of Excellence for Biomedical Tuberculosis Research and SAMRC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Centre for Tuberculosis Research, Division of Molecular Biology and Human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Genetics, Faculty of Medicine and Health Sciences, Stellenbosch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Tygerberg, Cape 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(2)National Health Laboratory Service, Greenpoint Tuberculosis Laboratory, Cape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(3)Division of Medical Microbiology, Department of Pathology, University of Cape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Town, Cape 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(4)Department of Global Public Health, Karolinska Institutet, Stockholm, Sweden.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Growth Indicator Tube (MGIT) 960 culture is critical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(TB) drug susceptibility testing (DST) but is vulnerable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contamination. We evaluated the accuracy of Xpert MTB/XDR, a molecular DST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isoniazid, fluoroquinolone, amikacin, and ethionamide, on to-be-discarded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contaminated growth. Xpert MTB/XDR was applied to acid-fast-bacilli-negative,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contaminated cultures from sputum from people with rifampicin-resistant TB when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Xpert MTB/XDR on sputum was unsuccessful (not resistant or susceptible for all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drugs), either at diagnosis (Cohort A) or during treatment monitoring (Cohort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B). Future DSTs within 3 months served as a reference standard. We determined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potential care cascade improvements. In Cohort A, 10% (66/650) of people had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contaminated culture; 89% (59/66) of contaminated growths were Xpert MTB/XDR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TB-positive. Sensitivity and specificity for isoniazid, fluoroquinolone,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amikacin, and ethionamide resistance were 100% (95% confidence interval [CI] 85,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100) and 100% (79, 100); 100% (59, 100) and 100% (89, 100); 100% (16, 100)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100% (91, 100); and 100% (72, 100) and 96% (78, 100), respectively. In Cohort B,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22% (28/129) of people with a contaminated culture were Xpert MTB/XDR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TB-positive. Of these, 57% (16/28), 7% (2/28), and 43% (12/28) were isoniazid-,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fluoroquinolone-, and ethionamide-resistant (in two, one, and four people,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respectively, this would be the first resistant result). In both cohorts,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time-to-DST could improve by a median (IQR) of 22 (12-42) days. Xpert MTB/XDR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contaminated MGIT960 cultures had high sensitivity and specificity for DST.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approach could mitigate culture contamination's negative effects and improve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gaps in the drug-resistant TB diagnostic cascade.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IMPORTANCE: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Culture contamination is a common impediment to drug susceptibility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testing for tuberculosis, the single biggest infectious cause of death globally.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Xpert MTB/XDR is a World Health Organization-recommended rapid molecular test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second-line drug resistance. We evaluated Xpert MTB/XDR on contaminated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liquid culture growth that would otherwise be discarded, with the people who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provided these specimens potentially lost from care cascades. By applying Xpert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MTB/XDR to contaminated growth in a high-volume programmatic laboratory,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found the number of people who had second-line DST improved, as did the number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resistant cases diagnosed and time to diagnosis. Furthermore, DST information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was generated in people who otherwise would have had none. This approach can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therefore reduce the effect of culture contamination on tuberculosis DST,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permitting earlier diagnosis and effective treatment initiation and potentially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ultimately contributing to improving clinical outcomes and reducing transmission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of drug-resistant TB.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10.1128/jcm.00580-25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40590556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. Exp Dermatol. 2025 Jul;34(7):e70134. doi: 10.1111/exd.70134.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Incidence and Clinical Characteristics of Active Tuberculosis in Psoriasis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Patients From a High-Burden Setting: An 18-Year Retrospective Study of 86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Patients.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Trakanwittayarak S(1), Chularojanamontri L(1), Chaiyabutr C(1), Silpa-Archa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N(1), Wongpraparut C(1), Chiowchanwisawakit P(2).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Dermatology, Faculty of Medicine Siriraj Hospital, Mahidol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University, Bangkok, Thailand.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(2)Division of Rheumatology, Department of Medicine, Faculty of Medicine Siriraj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Hospital, Mahidol University, Bangkok, Thailand.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Real-world data on concurrent psoriasis and active tuberculosis (TB) remain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limited, particularly in high TB-burden settings. This retrospective study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evaluated the incidence, prevalence, and clinical characteristics of psoriasis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patients with active TB who had received topical or systemic treatments. Medical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records from 13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066 psoriasis patients who presented at Siriraj Hospital over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18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years were reviewed. Among these, 86 (0.66%) developed active TB, yielding 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incidence range of 135-1332 per 100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000 psoriasis patients. The mean patient age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was 50.4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15.7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years; 63 were men and 23 were women. Pulmonary TB occurred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55 patients (64.0%), whereas 31 (36.0%) developed extrapulmonary TB. Male sex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smoking were associated with pulmonary TB. The most common pulmonary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symptoms were chronic cough (65.5%) and dyspnoea (60.0%), although 7.3%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asymptomatic. Time to TB onset was shorter for extrapulmonary cases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(5.7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5.1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years) than for pulmonary cases (7.4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6.5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years), but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difference was not statistically significant. Extrapulmonary disease most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frequently involved the lymph node and pleura (25.8%) or the gastrointestinal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tract (16.1%). Notably, all four patients who received infliximab within 1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year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before TB diagnosis developed extrapulmonary TB. In conclusion, the incidence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TB in psoriasis patients in endemic regions may be high. Geographic factors,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sex, smoking, and treatment history appear to influence TB risk. Close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monitoring is critical, particularly in high-burden settings.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 The Author(s). Experimental Dermatology published by John Wiley &amp; Sons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Ltd.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DOI: 10.1111/exd.70134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PMC12210339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 40590271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ERJ Open Res. 2025 Jun 30;11(3):00952-2024. doi: 10.1183/23120541.00952-2024.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eCollection 2025 May.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Predicting rifampicin resistance in Mycobacterium tuberculosis using machine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learning informed by protein structural and chemical features.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Lynch CI(1)(2), Adlard D(1)(2), Fowler PW(1)(3)(4).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(1)Nuffield Department of Medicine, University of Oxford, Oxford,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(2)These authors contributed equally.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(3)National Institute of Health Research Oxford Biomedical Research Centre, John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Radcliffe Hospital, Oxford,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(4)Health Protection Research Unit in Healthcare Associated Infections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Antimicrobial Resistance, University of Oxford, Oxford,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Rifampicin remains a key antibiotic in the treatment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tuberculosis. Despite advances in cataloguing resistance-associated variants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(RAVs), novel and rare mutations in the relevant gene, rpoB, will be encountered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clinical samples, complicating the task of using genetics to predict whether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 sample is resistant or not to rifampicin. We have trained a series of machine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learning models with the aim of complementing genetics-based drug susceptibility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testing.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We built a Test+Train dataset comprising 219 susceptible mutations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46 RAVs. Features derived from the structure of the RNA polymerase or the change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chemistry introduced by the mutation were considered; however, only a few,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notably the distance from the rifampicin binding site, were found to be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predictive on their own. Owing to the paucity of RAVs we used Monte Carlo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cross-validation with 50 repeats to train four different machine learning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models.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All four models behaved similarly with sensitivities and specificities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the range 0.84-0.88 and 0.94-0.97, although we preferred the ensemble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decision tree models as they are easy to inspect and understand. We showed that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measuring distances from molecular dynamics simulations did not improve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performance.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It is possible to predict whether a mutation in rpoB confers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resistance to rifampicin using a machine learning model trained on a combination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structural, chemical and evolutionary features; however, performance 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moderate and training is complicated by the lack of data.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Copyright ©The authors 2025.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10.1183/23120541.00952-2024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PMC12208608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40589903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. Nat Rev Microbiol. 2025 Jun 30. doi: 10.1038/s4157</w:t>
      </w:r>
      <w:r w:rsidR="00394EE4" w:rsidRPr="00394EE4">
        <w:rPr>
          <w:rFonts w:ascii="宋体" w:eastAsia="宋体" w:hAnsi="宋体" w:cs="宋体"/>
          <w:b/>
          <w:color w:val="FF0000"/>
          <w:szCs w:val="24"/>
        </w:rPr>
        <w:t xml:space="preserve">9-025-01201-x. Online ahead of 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Mycobacterium tuberculosis biology, pathogenicity and interaction with the host.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Warner DF(1)(2), Barczak AK(3)(4)(5), Gutierrez MG(6), Mizrahi V(7)(8).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(1)Molecular Mycobacteriology Research Unit, Institute of Infectious Disease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Molecular Medicine and Department of Pathology, University of Cape Town, Cape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(2)Discovery Research Platform for Infection, Centre for Infectious Diseases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Research in Africa, University of Cape Town, Cape Town,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(3)Division of Infectious Diseases, Massachusetts General Hospital, Boston, MA,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(4)Ragon Institute of Mass General, MIT and Harvard, Boston, MA,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(5)Department of Medicine, Harvard Medical School, Boston, MA,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(6)The Francis Crick Institute,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(7)Molecular Mycobacteriology Research Unit, Institute of Infectious Disease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Molecular Medicine and Department of Pathology, University of Cape Town, Cape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Town, South Africa. valerie.mizrahi@uct.ac.za.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(8)Discovery Research Platform for Infection, Centre for Infectious Diseases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Research in Africa, University of Cape Town, Cape Town, South Africa.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valerie.mizrahi@uct.ac.za.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Since the release of the first Mycobacterium tuberculosis genome in 1998, major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advances have been made in understanding the biology of this pathogen,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leading infectious cause of death in modern human history. In this Review,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outline the physiological and metabolic features thought to underpin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survival, evasion and subversion strategies employed by M.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as it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drives a cycle of transmission, infection and disease in its obligate human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host. We also consider adaptations to key host innate immune effectors,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including the roles of granulocytes, phagosomal damage and repair, autophagy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cell death in determining host-mycobacterium outcomes. Given the increasing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awareness of the importance of asymptomatic M.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infection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transmission, we advocate for the need to ensure greater intersection between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laboratory and clinical research, taking into account the environmental context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which natural infection and disease occur. We identify knowledge gaps in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field and reflect on the opportunities and challenges for integrating host,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bacterium and environment into future investigations to inform intervention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strategies to control tuberculosis disease.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Springer Nature Limited.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10.1038/s41579-025-01201-x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40588584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Ann Am Thorac Soc. 2025 Jun 30. doi: 10.1513/AnnalsATS.202404-422OC. Online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Effectiveness and Implementation of A Clinical Risk Score for Early Diagnosis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 in Uganda: A Pragmatic, Clustered Randomization Clinical Trial.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Baik Y(1), Musoke M(2), Twinamasiko A(2), Lamunu M(2), Nabacwa V(2), Sanyu A(2),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Robsky KO(3), Sung J(4), Kityamuwesi A(2), Katamba A(2), Dowdy DW(5).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(1)Johns Hopkins Bloomberg School of Public Health, Department of International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Health, Baltimore, Maryland, United States; ybaik3@jh.edu.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(2)Makerere University College of Health Sciences, Uganda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Implementation Research Consortium, Kampala, Kampala, Uganda.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(3)Georgetown University School of Medicine, Center for Global Health Practice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Impact, Washington, District of Columbia, United States.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(4)The Johns Hopkins University School of Medicine, Division of Infectious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Diseases, Baltimore, Maryland, United States.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(5)Johns Hopkins University Bloomberg School of Public Health, Baltimore,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Maryland, United States.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Undertreatment of tuberculosis (TB) is common in resource-limited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settings where same-day microbiological diagnosis is unavailable. We evaluated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if a simple clinical risk score for predicting active TB could facilitate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initiation among individuals at high risk for TB. </w:t>
      </w:r>
      <w:r w:rsidRPr="00394EE4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conducted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 pragmatic, implementation-effectiveness study in peri-urban primary health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clinics in Uganda. Four intervention clinics were paired with standard-of-care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comparison clinics. Providers in intervention clinics were trained to use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score and set a threshold score for considering same-day treatment initiation;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decisions were at the providers' discretion. Our primary effectiveness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outcome was the change in the proportion of individuals with confirmed TB who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started on treatment within seven days of presentation, comparing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pre-intervention and post-intervention periods. </w:t>
      </w:r>
      <w:r w:rsidRPr="00394EE4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Among intervention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clinics, 594/720 (83%) people diagnosed with TB started treatment within seven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days during the pre-intervention period, versus 264/316 (84%) after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implementation (pre-post difference 1%; 95% confidence interval [95%CI]: -6,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8%). In comparison clinics, seven-day treatment initiation changed from 312/363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(86%) pre-intervention to 153/211 (73%) post-intervention (pre-post difference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-13%; 95%CI: -22, -5%). A difference-in-differences estimate was 14% (95%CI: 10,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19%). In intervention clinics, 1,206 of 1,826 (66%) people presenting with 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symptoms were administered the risk score. 229 (19%) had a score above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threshold and 105 (46%) initiated treatment on the same day.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Conclusions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 easy-to-use clinical risk score did not increase seven-day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empiric treatment initiation in intervention clinics. However, it improved rapid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initiation relative to clinics using the prevailing standard-of-care.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score was also highly acceptable to clinical providers. Clinical trial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registration available at www.clinicaltrials.gov, ID: __NCT05122624 __________.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10.1513/AnnalsATS.202404-422OC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40587503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PLoS One. 2025 Jun 30;20(6):e0326500. doi: 10.1371/journal.pone.0326500.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Crystal structures of Mycobacterium tuberculosis and Mycobacterium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thermoresistibile glycyl-tRNA synthetases in various liganded states.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Fenwick MK(1)(2), DeRocher AE(1)(2), Craig JK(1)(3), Harmon EK(1)(3), Seibold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S(1)(4), Liu L(1)(4), Battaile KP(5), Barrett LK(1)(3), Van Voorhis WC(1)(3),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Phan IQ(1)(2), Staker BL(1)(2), Subramanian S(1)(2), Lovell S(1)(4), Myler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PJ(1)(2)(6)(7).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(1)Seattle Structural Genomics Center for Infectious Disease, Seattle,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Washington,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(2)Center for Global Infectious Disease Research, Seattle Children's Research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Institute, Seattle, Washington,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Medicine, Division of Allergy and Infectious Diseases, Center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Emerging and Re-emerging Infectious Diseases (CERID),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Washington, Seattle, Washington,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(4)Protein Structure and X-ray Crystallography Laboratory, The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Kansas, Lawrence, Kansas,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(5)New York Structural Biology Center, New York, New York, United States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Biomedical Informatics and Medical Education, University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Washington, Seattle, Washington, 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(7)Department of Global Health, University of Washington, Seattle, Washington,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United States of America.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Glycyl tRNA synthetases (GlyRSs) are prospective drug targets for combating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and cancer in humans. These synthetases are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α2-subtype, with the ortholog in humans being dual targeted to the cytosol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mitochondria. Whereas the human enzyme has been structurally characterized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previously in several liganded states, no structures of MtbGlyRS have thus far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been reported. Here, we describe our recent work with MtbGlyRS and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closely-related Mycobacterium thermoresitibile GlyRS (MtrGlyRS), which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progressed through all phases of the structural genomics pipeline, for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purpose of facilitating structure-based drug discovery. MtbGlyRS was expressed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Mycobacterium smegmatis and MtrGlyRS in Escherichia coli. Crystal structures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are described for complexes of the two enzymes with adenosine monophosphate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(AMP) and glycyl-sulfamoyl-adenylate (glycyl-AMS) at resolutions of 1.65/2.90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2.25/1.95 Å, respectively, and for MtrGlyRS in its apo state at 2.85 Å.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Despite crystallizing in the dimeric state characteristic of many class II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synthetases, the two enzymes elute predominantly as monomers during size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exclusion chromatography. Strikingly, significant portions of the dimer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interface and active site are unstructured in the MtrGlyRS apoenzyme crystal.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AMP orders two tRNA recognition loops and a section of the insertion domain,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glycyl-AMS further stabilizes the structure, including the closure of a lid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motif. Both the active and anticodon binding sites display structural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differences with the human GlyRS and thus the collection of crystal structures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should be useful for guiding drug development efforts targeting the various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characterized structural states.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Copyright: This is an open access article, free of all copyright, and may be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freely reproduced, distributed, transmitted, modified, built upon, or otherwise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used by anyone for any lawful purpose. The work is made available under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Creative Commons CC0 public domain dedication.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10.1371/journal.pone.0326500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PMC12208437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40587479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Indian J Dermatol Venereol Leprol. 2025 Jul-Aug;91(4):567. doi: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10.25259/IJDVL_63_2023_ER.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Primary drug resistant cutaneous tuberculosis: A retrospective case series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seven patients.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[No authors listed]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10.25259/IJDVL_63_2023_ER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40587374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72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. mSystems. 2025 Jun 30:e0042025. doi: 10.1128/msys</w:t>
      </w:r>
      <w:r w:rsidR="00394EE4" w:rsidRPr="00394EE4">
        <w:rPr>
          <w:rFonts w:ascii="宋体" w:eastAsia="宋体" w:hAnsi="宋体" w:cs="宋体"/>
          <w:b/>
          <w:color w:val="FF0000"/>
          <w:szCs w:val="24"/>
        </w:rPr>
        <w:t xml:space="preserve">tems.00420-25. Online ahead of 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Phosphoglucomutase A-mediated metabolic adaptation is essential for antibiotic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disease persistence in Mycobacterium tuberculosis.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Sharma T(1)(2), Tyagi S(#)(1)(2), Pal R(#)(1), Kundu J(3), Gupta SK(4), Barik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V(1)(2), Nain VK(1)(2), Pandey M(1), Dwivedi P(5), Panda BN(5), Kumar Y(3),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Nanda RK(6), Chatterjee S(3), Pandey AK(1)(5).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(1)Mycobacterial Pathogenesis Laboratory, Centre for Tuberculosis Research,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Translational Health Science and Technology Institute, Faridabad, Haryana,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(2)Jawaharlal Nehru University, New Delhi, Delhi,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(3)Complex Analysis Group, Computational and Mathematical Biology Centre,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Translational Health Science and Technology Institute, Faridabad, Haryana,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(4)Biomarker Discovery Laboratory, Non-communicable Disease Centre,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Translational Health Science and Technology Institute, Faridabad, Haryana,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(5)Experimental Animal Facility, Translational Health Science and Technology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Institute, Faridabad, Haryana,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(6)Translational Health Group, International Centre for Genetic Engineering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Biotechnology, New Delhi, Delhi, India.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long-term survival of Mycobacterium tuberculosis (Mtb) requires efficient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use of host resources and uninterrupted access to host-derived nutrients. This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is done by utilization of a highly flexible and integrated network of metabolic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pathways. Phosphoglucomutase A (pgmA) is essential for glycogen biosynthesis,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which acts as a nutrient reservoir and is known to modulate carbon flux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various pathogens. We, for the first time, investigated the role of pgmA in Mtb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by creating a strain lacking this gene. The absence of pgmA hinders the survival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pathogens under nutrient-limiting and reactivation conditions. Our study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shows that the lack of cell membrane-associated glycolipids in ΔpgmA compromises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cell wall integrity and increases susceptibility to stress. Interestingly, ΔpgmA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exhibits an enhanced growth phenotype on cholesterol compared to the wild type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due to low cyclic adenosine monophosphate (cAMP) levels. Differential gene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expression and 13C3 carbon dilution analyses indicate that stored carbon as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glycogen is crucial for Mtb survival under nutrient-limiting conditions.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demonstrate that pgmA is vital for Mtb growth within the host. This study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highlights the critical role of pgmA in metabolic adaptation during nutrient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starvation and reactivation and its implication on antibiotic and disease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persistence. These insights are crucial for developing novel, shorter, and more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effective anti-tuberculosis strategies.IMPORTANCEThis study for the first time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investigated the role of metabolic enzyme phosphoglucomutase A (pgmA)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(Mtb), revealing its crucial functions as a toggle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switch between biosynthesis and growth. This work highlights the importance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pgmA in maintaining the metabolic flexibility of Mtb during the nutritional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switch. The presence of pgmA is critical for the production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membrane-associated glycolipid, which helps maintain the cell wall integrity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under various growth and stress conditions. This adaptability is pivotal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generating starvation-induced antibiotic tolerance in Mtb. In addition to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clinical context, these findings provide a mechanistic foundation for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understanding adaptive strategies by Mtb to harsh environments and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development of drug-tolerant bacilli.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10.1128/msystems.00420-25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40586596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Animal Model Exp Med. 2025 Jun 30. doi: 10.1002/ame2.70055. Online ahead of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Diosgenin ameliorates silica-induced tuberculosis in rats.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Adu WA(1), Ativui S(2), Ofori M(2), Owusu G(3), Danquah CA(2), Poku Sampene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Ossei P(4).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Sciences, Faculty of Applied Science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Technology, Sunyani Technical University, Sunyani, 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Pharmacology, Faculty of Pharmacy and Pharmaceutical Sciences,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College of Health Sciences, Kwame Nkrumah University of Science and Technology,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PMB, Kumasi, 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of Medical Laboratory Science, University of Energy and Natural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Resources, Sunyani, 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Pathology, School of Medicine and Dentistry, Kwame Nkrumah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University of Science and Technology, Kumasi, Ghana.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Silicosis is an occupational lung disease that is caused by chronic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exposure to silica dust. Silica-exposed workers are at higher risk of developing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TB, resulting in lung fibrosis and significant respiratory dysfunction.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Diosgenin is a steroidal saponin that has been shown to exert a therapeutic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effect on lung injury. Therefore, we investigated the potential efficacy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diosgenin in treating silicotuberculosis by evaluating its effectiveness against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smegmatis, as well as its antifibrotic and antioxidant effects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silica-induced TB in rats.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Silicosis was induced by intratracheal instillation of 50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mg/kg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crystalline silica in Sprague-Dawley rats. Rats were grouped into 7 (10 per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group). Different doses of diosgenin (1, 10, and 20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mg/kg) and saline were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administered for 30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days. Afterwards, five rats from each group were sacrificed,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the five remaining rats in each group, except the control, received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Mycobacterium smegmatis. Treatment continued until the 50th day, and the animals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were sacrificed at the end of the experiment. The result was analyzed using a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one-way analysis of variance (ANOVA) with GraphPad Prism.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At a half-maximal inhibition concentration of 0.006043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g/mL, diosgenin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inhibited the growth of Mycobacterium smegmatis. Oxidative stress markers such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as malondialdehyde were significantly reduced. The health-enhancing effects of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catalase and superoxide dismutase were elevated. Additionally, histological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findings demonstrated a significant improvement in respiratory function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following diosgenin treatment.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Diosgenin treatment inhibited the growth of Mycobacterium smegmatis,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leading to a reduction in the susceptibility of rats to infection and improved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pulmonary function through its antioxidant effect.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 The Author(s). Animal Models and Experimental Medicine published by John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Wiley &amp; Sons Australia, Ltd on behalf of The Chinese Association for Laboratory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Animal Sciences.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10.1002/ame2.70055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40583791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 xml:space="preserve">. Lancet Glob Health. 2025 Jul;13(7):e1240-e1249. doi: </w:t>
      </w:r>
    </w:p>
    <w:p w:rsidR="00EA7B5C" w:rsidRPr="00394EE4" w:rsidRDefault="00EA7B5C" w:rsidP="00EA7B5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10.1016/S2214-109X(25)00114-7.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Implications of progressive lung damage and post-tuberculosis sequelae for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health benefits of prompt tuberculosis treatment in high HIV prevalence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settings: a mathematical modelling analysis.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Can MH(1), Sweeney S(2), Allwood BW(3), Dorman SE(4), Cohen T(5), Menzies NA(6).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Global Health and Population, Harvard T H Chan School of Public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Health, Harvard, Boston, MA, USA. Electronic address: mhcan@hsph.harvard.edu.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(2)Faculty of Public Health and Policy, London School of Hygiene &amp; Tropical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Medicine, London, UK.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(3)Division of Pulmonology, Department of Medicine, Stellenbosch University,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Stellenbosch, South Africa.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Medicine, Medical University of South Carolina, Charleston, SC,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(5)Department of Epidemiology of Microbial Diseases, Yale School of Public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>Health, Yale, New Haven, CT,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(6)Department of Global Health and Population, Harvard T H Chan School of Public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Health, Harvard, Boston, MA, USA; Center for Health Decision Science, Harvard 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 Chan School of Public Health, Boston, MA, USA.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Untreated pulmonary tuberculosis causes ongoing lung damage, which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can persist after treatment. Conventional modelling approaches for assessing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health effects might not fully capture these mechanisms. We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evaluated how tuberculosis-associated lung damage and post-tuberculosis sequelae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affect the lifetime health consequences of tuberculosis in high HIV prevalence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settings.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developed a microsimulation model (computer simulations that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reproduce disease natural history and intervention effects for sampled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individuals) representing dynamic changes in lung function for individuals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evaluated for tuberculosis in routine clinical settings. We parametrised the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model with data (from a previously published study) for three African countries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with a high burden of tuberculosis and HIV: Uganda, Kenya, and South Africa, and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estimated lifetime health outcomes under prompt, delayed, and no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treatment scenarios. We compared results to earlier modelling approaches that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omit progressive lung damage and post-tuberculosis sequelae.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estimated a 5·1 years (95% uncertainty interval 3·8-6·4) reduction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life expectancy due to tuberculosis with prompt treatment, 7·7 years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(5·5-10·1) with delayed treatment, and 18·5 years (15·5-20·6) wit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h no treatment. </w:t>
      </w:r>
      <w:r w:rsidRPr="00EA7B5C">
        <w:rPr>
          <w:rFonts w:ascii="宋体" w:eastAsia="宋体" w:hAnsi="宋体" w:cs="宋体"/>
          <w:color w:val="000000" w:themeColor="text1"/>
          <w:szCs w:val="24"/>
        </w:rPr>
        <w:t>Estimated per-person disability-adjusted life-y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ears (DALYs) from tuberculosis </w:t>
      </w:r>
      <w:r w:rsidRPr="00EA7B5C">
        <w:rPr>
          <w:rFonts w:ascii="宋体" w:eastAsia="宋体" w:hAnsi="宋体" w:cs="宋体"/>
          <w:color w:val="000000" w:themeColor="text1"/>
          <w:szCs w:val="24"/>
        </w:rPr>
        <w:t>were 11·4 years (8·9-14·2) with prompt treatmen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t, 17·1 years (13·1-22·1) with </w:t>
      </w:r>
      <w:r w:rsidRPr="00EA7B5C">
        <w:rPr>
          <w:rFonts w:ascii="宋体" w:eastAsia="宋体" w:hAnsi="宋体" w:cs="宋体"/>
          <w:color w:val="000000" w:themeColor="text1"/>
          <w:szCs w:val="24"/>
        </w:rPr>
        <w:t>delayed treatment, and 37·7 years (34·3-40·3) wi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th no treatment. Compared with </w:t>
      </w:r>
      <w:r w:rsidRPr="00EA7B5C">
        <w:rPr>
          <w:rFonts w:ascii="宋体" w:eastAsia="宋体" w:hAnsi="宋体" w:cs="宋体"/>
          <w:color w:val="000000" w:themeColor="text1"/>
          <w:szCs w:val="24"/>
        </w:rPr>
        <w:t>individuals without HIV, individuals with H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IV had a greater proportion of </w:t>
      </w:r>
      <w:r w:rsidRPr="00EA7B5C">
        <w:rPr>
          <w:rFonts w:ascii="宋体" w:eastAsia="宋体" w:hAnsi="宋体" w:cs="宋体"/>
          <w:color w:val="000000" w:themeColor="text1"/>
          <w:szCs w:val="24"/>
        </w:rPr>
        <w:t>tuberculosis-attributable deaths, but fewer li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fe-years lost to tuberculosis. </w:t>
      </w:r>
      <w:r w:rsidRPr="00EA7B5C">
        <w:rPr>
          <w:rFonts w:ascii="宋体" w:eastAsia="宋体" w:hAnsi="宋体" w:cs="宋体"/>
          <w:color w:val="000000" w:themeColor="text1"/>
          <w:szCs w:val="24"/>
        </w:rPr>
        <w:t>Post-tuberculosis DALYs represented 52·5% of tota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l DALYs with prompt treatment, </w:t>
      </w:r>
      <w:r w:rsidRPr="00EA7B5C">
        <w:rPr>
          <w:rFonts w:ascii="宋体" w:eastAsia="宋体" w:hAnsi="宋体" w:cs="宋体"/>
          <w:color w:val="000000" w:themeColor="text1"/>
          <w:szCs w:val="24"/>
        </w:rPr>
        <w:t>42·7% with delayed treatment, and 9·1% with no t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reatment. Modelling approaches </w:t>
      </w:r>
      <w:r w:rsidRPr="00EA7B5C">
        <w:rPr>
          <w:rFonts w:ascii="宋体" w:eastAsia="宋体" w:hAnsi="宋体" w:cs="宋体"/>
          <w:color w:val="000000" w:themeColor="text1"/>
          <w:szCs w:val="24"/>
        </w:rPr>
        <w:t>that omit progressive lung damage and post-tuberc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ulosis sequelae underestimated </w:t>
      </w:r>
      <w:r w:rsidRPr="00EA7B5C">
        <w:rPr>
          <w:rFonts w:ascii="宋体" w:eastAsia="宋体" w:hAnsi="宋体" w:cs="宋体"/>
          <w:color w:val="000000" w:themeColor="text1"/>
          <w:szCs w:val="24"/>
        </w:rPr>
        <w:t>lifetime health losses of tuberculosis by 48-57% a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nd underestimated the benefits </w:t>
      </w:r>
      <w:r w:rsidRPr="00EA7B5C">
        <w:rPr>
          <w:rFonts w:ascii="宋体" w:eastAsia="宋体" w:hAnsi="宋体" w:cs="宋体"/>
          <w:color w:val="000000" w:themeColor="text1"/>
          <w:szCs w:val="24"/>
        </w:rPr>
        <w:t>of prompt treatment by 45-64%.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Delayed initiation of tuberculosis treatment causes greater lung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damage and higher mortality risks during and after the disease episode than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prompt treatment. In settings with coprevalent tuberculosis and HIV, accounting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for these factors substantially increased estimates of the lifetime disease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burden and life expectancy loss caused by tuberculosis. These findings imply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greater health effects and cost-effectiveness for interventions to prevent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and achieve earlier treatment initiation than indicated in previous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analytical approaches.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FUNDING: US National Institutes of Health.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Copyright © 2025 The Author(s). Published by Elsevier Ltd. This is an Open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Access article under the CC BY-NC-ND 4.0 license. Published by Elsevier Ltd..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10.1016/S2214-109X(25)00114-7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 40580989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. Emerg Infect Dis. 2025 Jul;31(7):1344-1352. doi: 10.3201/eid3107.250031.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Spatiotemporal Distribution and Clinical Characteristics of Zoonotic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Tuberculosis, Spain, 2018-2022.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Roy Á, Gómez-Barroso D, Cruz-Ferro E, Fernández A, Martínez-Pino I, Del Henar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Marcos M, Ursúa-Díaz I, Miras S, Echave N, Ounarou E, Romero B, Herrera-León L,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Herrador Z; Study Group on Zoonotic Tuberculosis.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Zoonotic tuberculosis (zTB) is a communicable disease that has major effects 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both human and animal health. Spain reports the highest number of zTB cases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humans annually in the European Union. We describe the epidemiology of human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cases of zTB caused by Mycobacterium bovis and M. caprae in Spain during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2018-2022. The incidence of M. bovis infection compared with M.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infection was higher in patients who were native-born (adjusted odds ratio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[aOR) 2.32, 95% CI 1.44-3.82), HIV-negative (aOR 3</w:t>
      </w:r>
      <w:r w:rsidR="00394EE4">
        <w:rPr>
          <w:rFonts w:ascii="宋体" w:eastAsia="宋体" w:hAnsi="宋体" w:cs="宋体"/>
          <w:color w:val="000000" w:themeColor="text1"/>
          <w:szCs w:val="24"/>
        </w:rPr>
        <w:t xml:space="preserve">.39, 95% CI 1.24-14.0), or had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extrapulmonary forms of TB (aOR 2.20, 95% CI 1.46-3.28). The spatial pattern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differed by M. tuberculosis complex species; we identified 3 significant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clusters of M. bovis and 1 of M. caprae in bovine TB-free regions. Our results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show the importance of including animal and human data on circulating zoonotic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pathogens under the One Health umbrella.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10.3201/eid3107.250031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PMC12205449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40562720 [Indexed for MEDLINE]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394EE4" w:rsidRDefault="009E256A" w:rsidP="00EA7B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EA7B5C" w:rsidRPr="00394EE4">
        <w:rPr>
          <w:rFonts w:ascii="宋体" w:eastAsia="宋体" w:hAnsi="宋体" w:cs="宋体"/>
          <w:b/>
          <w:color w:val="FF0000"/>
          <w:szCs w:val="24"/>
        </w:rPr>
        <w:t>. Emerg Infect Dis. 2025 Jul;31(7):1284-1293. doi: 10.3201/eid3107.241827.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Systematic Review of Contact Investigation Costs for Tuberculosis, United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Asay GRB, Young KH, Hill TD, Njie GJ.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Contact investigation is a fundamental component of tuberculosis (TB) programs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that drives prompt diagnosis and treatment of Mycobacterium tuberculosis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infection among those exposed. Few studies have examined contact investigation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costs for TB. We conducted a systematic review of TB contact investigation costs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the United States by searching English-language articles published during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January 1990-August 2024 in electronic databases, including MEDLINE, Embase,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CINAHL, and Scopus. We identified 2,920 titles and abstracts; 10 studies met our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inclusion criteria. We abstracted costs for labor, diagnostic tests, and chest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radiographs. Labor cost per contact was estimated at $175.94 (range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$79.97-$293.51); total cost, including diagnostic testing and chest radiography,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was $228.93 (range $132.95-$346.49).The overall cost of contact investigation in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United States was $9.94 (range $5.77-$15.04) million in 2022; total cost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during 2013-2022 was $137.35 million. Contact investigations are essential to 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prevent TB and avert TB-related labor and diagnostic costs.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10.3201/eid3107.241827</w:t>
      </w:r>
    </w:p>
    <w:p w:rsidR="00EA7B5C" w:rsidRPr="00EA7B5C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PMC12205448</w:t>
      </w:r>
    </w:p>
    <w:p w:rsidR="00612904" w:rsidRDefault="00EA7B5C" w:rsidP="00EA7B5C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40562712 [Indexed for MEDLINE]</w:t>
      </w:r>
    </w:p>
    <w:p w:rsidR="00660A4C" w:rsidRDefault="00660A4C" w:rsidP="00EA7B5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394EE4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660A4C" w:rsidRPr="00394EE4">
        <w:rPr>
          <w:rFonts w:ascii="宋体" w:eastAsia="宋体" w:hAnsi="宋体" w:cs="宋体"/>
          <w:b/>
          <w:color w:val="FF0000"/>
          <w:szCs w:val="24"/>
        </w:rPr>
        <w:t>. Trop Biomed. 2025 Jun 1;42(2):213-219. doi: 10.47665/tb.42.2.014.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Discovery of alcohol dehydrogenase (ADH) as a potential vaccine target from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Mycolicibacterium smegmatis extracellular vesicles via immunoproteomics.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Jayaram M(1), Othman N(1), Mohd Hanafiah K(2), Azlan M(3), Arifin N(1).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(1)Institute for Research in Molecular Medicine, Universiti Sains Malaysia,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11800 Pulau Pinang, Malaysia.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(2)Macfarlane Burnet Institute, Melbourne, 3004 VIC Australia.1Present address: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 John Fisher University, School of Arts and Sciences, Rochester, New York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(3)School of Health Sciences, Universiti Sains Malaysia, 16150 Kubang Kerian,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Kelantan, Malaysia.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(MTB), the causative agent of tuberculosis, releases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extracellular vesicles (EVs) that impair macrophage functions and circulate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bacterial components to modulate the host immune response. While EVs are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increasingly investigated as new vaccines and biomarkers, studying MTB EVs 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challenging due to the slow growth rate and pathogenic properties of MTB.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Mycolicibacterium smegmatis (MSMEG), a non-pathogenic surrogate with a faster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growth rate, offers a safer and more convenient option for laboratory studies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due to its similarities to MTB. In this study, we explore the antigenic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properties of MSMEG EVs to assess their potential use in developing safer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vaccine strategies. Through an immunoproteomics approach that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combines comprehensive protein separation by OFFGELTM fractionation, Western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blot analysis and mass spectrometry, we identified alcohol dehydrogenase (ADH) -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 46 kDa protein involved in mycobacterial cell wall synthesis - as an antigenic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protein from MSMEG EVs. Our findings suggest that MSMEG EVs-derived ADH could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improve tuberculosis vaccine formulations and potentially be used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coimmunization with the BCG vaccine, offering new and safer strategies to combat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10.47665/tb.42.2.014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40618367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394EE4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660A4C" w:rsidRPr="00394EE4">
        <w:rPr>
          <w:rFonts w:ascii="宋体" w:eastAsia="宋体" w:hAnsi="宋体" w:cs="宋体"/>
          <w:b/>
          <w:color w:val="FF0000"/>
          <w:szCs w:val="24"/>
        </w:rPr>
        <w:t xml:space="preserve">. Tuberculosis (Edinb). 2025 Jun 28;154:102668. doi: 10.1016/j.tube.2025.102668. </w:t>
      </w:r>
    </w:p>
    <w:p w:rsidR="00660A4C" w:rsidRPr="00394EE4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Hereditary and antimicrobial factor shaping extracellular bacteria dynamics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an in-host mathematical model of tuberculosis for disease control.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Olayiwola MO(1), Oluwafemi EA(2).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(1)Department of Mathematical Sciences, Osun State University, Osogbo, Nigeria.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Mathematics, Adeyemi Federal University of Education, Ondo,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Nigeria. Electronic address: oluwafemiabiodun1234@gmail.com.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health challenge, necessitating deeper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insights into the dynamics of extracellular bacterial populations within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infected hosts. This study presents an in-host mathematical model that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incorporates hereditary and antimicrobial factors influencing TB progression.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biological feasibility of the model is established by analyzing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boundedness of solutions within a realistic parameter space. The equilibrium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states, including the disease-free and endemic equilibria, are examined,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revealing conditions under which the system remains locally asymptotically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stable. Sensitivity analysis is conducted to determine the key parameters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driving infection dynamics, providing insights into potential control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strategies. Notably, the model exhibits a backward bifurcation, indicating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possibility of multiple stable states and suggesting that reducing the basic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reproduction number R0 below unity may not be sufficient for disease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eradication. These findings highlight the importance of targeted interventions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to effectively control extracellular bacterial populations and mitigate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infection.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10.1016/j.tube.2025.102668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40617181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394EE4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660A4C" w:rsidRPr="00394EE4">
        <w:rPr>
          <w:rFonts w:ascii="宋体" w:eastAsia="宋体" w:hAnsi="宋体" w:cs="宋体"/>
          <w:b/>
          <w:color w:val="FF0000"/>
          <w:szCs w:val="24"/>
        </w:rPr>
        <w:t xml:space="preserve">. Diagn Microbiol Infect Dis. 2025 Jun 25;113(3):116978. doi: </w:t>
      </w:r>
    </w:p>
    <w:p w:rsidR="00660A4C" w:rsidRPr="00394EE4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10.1016/j.diagmicrobio.2025.116978. Online 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Novel heterocycles as antitubercular drugs: A review.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Kabir E(1), Alam M(2), Haque MI(3).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Chemistry, Faculty of Science, University of Chittagong,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Chittagong 4331, Bangladesh; Department of Electrical and Electronic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Engineering, Faculty of Science and Engineering, International Islamic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University Chittagong, Chittagong 4318, Bangladesh. Electronic address: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ekabir05@gmail.com.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Chemistry, Bangladesh Army University of Science and Technology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Khulna, Khulna 9204, Bangladesh. Electronic address: malam.nil88@gmail.com.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Electrical and Electronic Engineering, Faculty of Science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Engineering, International Islamic University Chittagong, Chittagong 4318,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Bangladesh. Electronic address: ismail07rueteeee@iiuc.ac.bd.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(TB) treatments rely on novel compounds, improved delivery,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combination therapies, but challenges like toxicities, drug resistance, HIV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incompatibility, and lack of knowledge about drug processes persist. TB remains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one of the most prevalent infectious diseases globally, impacting millions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annually. It has led to the spread of multidrug-resistant strains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extensively drug-resistant Mycobacterium tuberculosis. New drugs are urgently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needed to improve treatment for drug-resistant TB, reduce new infections,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eliminate death rates. Fortunately, some novel heterocyclic ring-containing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potential antitubercular candidate drugs have entered clinical trials in recent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years. These drugs are most likely to be successful against resistant strains.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 overview of new anti-TB agents with diverse molecular structures highlights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efforts to develop new drug molecules as lead anti-TB agents. Recent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developments in the study of new heterocyclic compounds are highlighted in this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review, emphasizing the compounds' antimycobacterial activity, modes of action,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toxicity, and structure-activity relationships (SARs).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10.1016/j.diagmicrobio.2025.116978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40614507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394EE4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660A4C" w:rsidRPr="00394EE4">
        <w:rPr>
          <w:rFonts w:ascii="宋体" w:eastAsia="宋体" w:hAnsi="宋体" w:cs="宋体"/>
          <w:b/>
          <w:color w:val="FF0000"/>
          <w:szCs w:val="24"/>
        </w:rPr>
        <w:t>. Health Educ Res. 2025 Jun 26;40(4):cyaf028. doi: 10.1093/her/cyaf028.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Exploring diabetes self-management practices among people with TB in Eswatini: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qualitative analysis.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Senthilvelan S(1), Mantell JE(2), Palmo L(3), Howard AA(4)(5), Vambe D(6)(7),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Ginindza N(8), Dlamini N(9), Hirsch-Moverman Y(4)(5).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Sociomedical Sciences, Columbia University Mailman School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Public Health, 722 West 168th Street, Washington Heights, New York, NY 10032,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(2)HIV Center for Clinical and Behavioral Studies, Gender, Sexuality and Health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Area, Department of Psychiatry, Columbia University, 722 West 168th Street,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Washington Heights, New York, NY 10032, United States.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Population and Family Health, Columbia University Mailman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School of Public Health, 722 West 168th Street, Washington Heights, New York, NY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10032, United States.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(4)ICAP at Columbia University, Mailman School of Public Health, 722 West 168th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Street, Washington Heights, New York, NY 10032, United States.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(5)Department of Epidemiology, Columbia University Mailman School of Public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Health, 722 West 168th Street, Washington Heights, New York, NY 10032, United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(6)Baylor College of Medicine Children's Foundation Eswatini, PO Box 110,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Mbabane, Eswatini.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(7)Global TB Program, Department of Pediatrics, Bayor College of Medicine, 1102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Bates Avenue, Houston, TX, 77030, United States.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(8)NCD Case Management Unit, Eswatini Ministry of Health, PO Box 5, Mbabane,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Eswatini.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(9)ICAP in Eswatini, 192 Somhlolo Road, Mbabane, H100, Eswatini.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Diabetes mellitus (DM), prevalent globally among individuals with tuberculosis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(TB) and associated with suboptimal TB treatment outcomes, is a major concern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Eswatini, where high TB incidence and care gaps in screening for and managing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pre-DM and DM exist. Understanding the feasibility and acceptability of DM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self-management practices among individuals with TB and pre-DM/DM is key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improving both TB treatment success and glycaemic control in Eswatini and other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resource-limited settings. To explore barriers and facilitators to adopting DM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self-management practices, we conducted 26 in-depth interviews with individuals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diagnosed with both TB and pre-DM/DM in Manzini, Eswatini. Our analyses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guided by the situated Information Motivation and Behavioural Skills model.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While participants demonstrated substantial knowledge about the dietary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exercise changes needed to manage pre-DM/DM, many were unaware of the link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between TB and DM. Some attributed their pre-DM/DM diagnosis to dietary habits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or family history. Despite being well-informed and motivated to engage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self-management practices, structural barriers, especially financial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constraints, frequently hindered their efforts. Participants suggested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addressing these challenges by enhancing community education on DM, promoting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home gardening initiatives, and offering financial assistance for transportation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to clinics.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Press. All rights reserved.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For commercial re-use, please contact reprints@oup.com for reprints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translation rights for reprints. All other permissions can be obtained through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our RightsLink service via the Permissions link on the article page on our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site—for further information please contact journals.permissions@oup.com.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10.1093/her/cyaf028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40614336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394EE4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660A4C" w:rsidRPr="00394EE4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Jun 20;40:100541. doi: </w:t>
      </w:r>
    </w:p>
    <w:p w:rsidR="00660A4C" w:rsidRPr="00394EE4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10.1016/j.jctube.2025.100541. eCollection 2025 Aug.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Multi-month dispensing of tuberculosis medications in sub-Saharan Africa: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feasible, person-centered care model.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Izudi J(1), Cattamanchi A(2)(3), Bajunirwe F(1).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Community Health, Faculty of Medicine, Mbarara University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Science and Technology, Mbarara, Uganda.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(2)Center for Tuberculosis, San Francisco General Hospital, University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California San Francisco, San Francisco, CA, USA.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(3)Division of Pulmonary Diseases and Critical Care Medicine, University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California Irvine, Irvine, CA, USA.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treatment success rate among people with tuberculosis in sub-Saharan Africa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is suboptimal despite the availability of shortened and efficacious TB regimens.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Barriers such as long travel distances and frequent clinic visits for medication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refills hinder access to care and compromise treatment adherence and completion.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Multi-month dispensing of anti-retroviral drugs has proved successful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improving treatment adherence and viral load suppression among people living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with human immunodeficiency virus. The strategy could be adapted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care to address treatment access and adherence barriers to optimize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treatment success. In this perspective, we discuss the key considerations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multi-month dispensing of tuberculosis drugs in sub-Saharan Africa.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particular, we highlight treatment monitoring, strengthening of logistics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supply chain systems, multi-month dispensing protocols, healthcare provider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capacity building, community engagement, and monitoring and evaluation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framework. We call for research, policy reforms, and pilot programs to evaluate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scale up multi-month dispensing of tuberculosis medications to end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epidemic by 2035.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 Published by Elsevier Ltd.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10.1016/j.jctube.2025.100541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PMC12221744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40613038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394EE4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660A4C" w:rsidRPr="00394EE4">
        <w:rPr>
          <w:rFonts w:ascii="宋体" w:eastAsia="宋体" w:hAnsi="宋体" w:cs="宋体"/>
          <w:b/>
          <w:color w:val="FF0000"/>
          <w:szCs w:val="24"/>
        </w:rPr>
        <w:t>. Iran J Microbiol. 2025 Jun;17(3):358-365. doi: 10.18502/ijm.v17i3.18817.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Genotypic diversity of Mycobacterium tuberculosis strains collected from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immigrant patients in Mashhad, Iran using MIRU-VNTR method.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Jangi M(1), Ghazvini K(2), Soleimanpour S(2), Ghavidel M(2), Hashemitabar G(1).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Pathobiology, Faculty of Veterinary Medicine, Ferdowsi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 of Mashhad, Mashhad, Iran.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Microbiology and Virology, School of Medicine, Mashhad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 of Medical Sciences, Mashhad, Iran.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BACKGROUND AND OBJECTIVES: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This research aimed to explore the genetic diversity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phylogenetic relationships of Mycobacterium tuberculosis (Mtb) strains, 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well as to assess their drug susceptibility, specifically in strains isolated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from immigrant patients attending the Referral Tuberculosis Laboratory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Mashhad.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MATERIALS AND METHODS: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 total of 52 sputum samples isolated from patients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examined utilizing the Mycobacterial Interspersed Repetitive-Unit Variable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Number of Tandem Repeats (MIRU-VNTR). Drug-susceptibility testing against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rifampin (RIF) and isoniazid (INH) was measured utilizing the proportional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strategy. Thereafter, for more examination, Xpert MTB/RIF and multiplex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allele-specific PCR (MAS-PCR) was performed to determine RIF and INH-resistance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within the Mtb strains.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Among 52 Mtb isolates, 2 (3.8%) were resistant to rifampin and one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isolate was resistant to both INH and RIF and considered as multidrug-resistance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(MDR) isolate. According to MIRU-VNTR, the most prominent genetic-variation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patterns of these samples, were related to NEW-1 (n=18, 34.6%), followed by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CAS/Delhi (n=17, 32.7%), Haarlem (n=12, 23%), Uganda I (n=2, 3.8%), S (n=1,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1.9%), Beijing (n=1, 1.9%), and unknown (n=1, 1.9%) genotypes. The statistical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analysis showed that the estimated percentage of the recent TB-transmission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this study was 0.21%.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result of this study indicated a great diversity of MTBC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circulating among Afghan-immigrants which might be one of the reasons for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infection to become active. The relatively high percentage of resistant isolates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the studied population shows the importance of screening the immigrants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especially at the entry borders and treatment and follow up of patients,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control TB-incidence in country.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Copyright© 2025 The Authors. Published by Tehran University of Medical Sciences.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10.18502/ijm.v17i3.18817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PMC12218889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40612727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394EE4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394EE4">
        <w:rPr>
          <w:rFonts w:ascii="宋体" w:eastAsia="宋体" w:hAnsi="宋体" w:cs="宋体"/>
          <w:b/>
          <w:color w:val="FF0000"/>
          <w:szCs w:val="24"/>
        </w:rPr>
        <w:t>8</w:t>
      </w:r>
      <w:r w:rsidR="009E256A">
        <w:rPr>
          <w:rFonts w:ascii="宋体" w:eastAsia="宋体" w:hAnsi="宋体" w:cs="宋体"/>
          <w:b/>
          <w:color w:val="FF0000"/>
          <w:szCs w:val="24"/>
        </w:rPr>
        <w:t>3</w:t>
      </w:r>
      <w:r w:rsidRPr="00394EE4">
        <w:rPr>
          <w:rFonts w:ascii="宋体" w:eastAsia="宋体" w:hAnsi="宋体" w:cs="宋体"/>
          <w:b/>
          <w:color w:val="FF0000"/>
          <w:szCs w:val="24"/>
        </w:rPr>
        <w:t>. South Afr J HIV Med. 2025 Jun 17;26(1):1705. doi:</w:t>
      </w:r>
      <w:r w:rsidR="009E256A">
        <w:rPr>
          <w:rFonts w:ascii="宋体" w:eastAsia="宋体" w:hAnsi="宋体" w:cs="宋体"/>
          <w:b/>
          <w:color w:val="FF0000"/>
          <w:szCs w:val="24"/>
        </w:rPr>
        <w:t xml:space="preserve"> 10.4102/sajhivmed.v26i1.1705. </w:t>
      </w:r>
      <w:r w:rsidRPr="00394EE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Urine-based assays for inpatients with HIV-associated tuberculosis in rural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Mntonintshi M(1), Sossen B(2), Bookholane H(2), Lifson A(2), Africa L(3),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Goliath R(4), Wearne N(5), Parrish A(6), Meintjes G(2)(4)(7).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Family Medicine and Rural Health, Faculty of Medicine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Health Sciences, Walter Sisulu University, Mthatha,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Medicine, Faculty of Health Sciences, University of Cape Town,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Cape Town,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(3)Department of Medicine, Mitchells Plain Hospital, Cape Town,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(4)Wellcome Centre for Infectious Disease Research in Africa, Institute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Infectious Disease and Molecular Medicine, University of Cape Town, Cape Town,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(5)Division of Nephrology and Hypertension, Faculty of Health Sciences,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 of Cape Town, Cape Town,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(6)Department of Internal Medicine, Frere and Cecilia Makiwane Hospitals, Walter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Sisulu University Central Deanery, Mthatha,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(7)Blizard Institute, Faculty of Medicine and Dentistry, Queen Mary University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of London, London, United Kingdom.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Accurate non-sputum-based tuberculosis (TB) diagnostics are urgently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needed to improve diagnostic yield and patient outcomes.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To compare the diagnostic accuracy and diagnostic yield of Urine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Xpert Ultra (Urine-XPU) and Urine DetermineTM TB Lipoarabinomannan (LAM) antigen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test (AlereLAM) against both a microbiological and composite reference standard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(MRS and CRS) in a rural, routine care setting in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 w:hint="eastAsia"/>
          <w:b/>
          <w:color w:val="000000" w:themeColor="text1"/>
          <w:szCs w:val="24"/>
        </w:rPr>
        <w:t xml:space="preserve">METHOD: </w:t>
      </w:r>
      <w:r w:rsidRPr="00660A4C">
        <w:rPr>
          <w:rFonts w:ascii="宋体" w:eastAsia="宋体" w:hAnsi="宋体" w:cs="宋体" w:hint="eastAsia"/>
          <w:color w:val="000000" w:themeColor="text1"/>
          <w:szCs w:val="24"/>
        </w:rPr>
        <w:t xml:space="preserve">Adults (≥ 18 years) with HIV had sputum, urine and blood collected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comprehensive TB testing shortly after admission. Additionally, focused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assessment with sonography for HIV-associated TB (FASH) was performed. The MRS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was defined by Xpert Ultra or culture-based tests for Mycobacterium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tuberculosis. The CRS incorporated these mycobacterial tests, FASH findings,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clinical response to empiric TB treatment. Follow-up was conducted at 3 months.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lastRenderedPageBreak/>
        <w:t>RESULTS: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A total of 206 participants were enrolled, with a median age of 39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years and 63% were female. Using the MRS the sensitivity of AlereLAM was 45.2%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(95% confidence interval [CI]: 31.2-60.1) and Urine-XPU, 59.5% (95%CI: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44.5-73.0); and the specificity of AlereLAM was 93.6% (95%CI: 88.2-96.6)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Urine-XPU 95.0% (95%CI: 90.0% - 97.6%). Urine-XPU and AlereLAM performed better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than sputum Xpert Ultra (Sputum-XPU) in patients with more severe illness.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Additionally, Urine-XPU showed potential for accurately detecting rifampicin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resistance.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394EE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Urine-XPU and AlereLAM demonstrated comparable diagnostic accuracy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for TB in hospitalised adults with HIV. Integrating Urine-XPU alongside AlereLAM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Sputum-XPU may improve timely and accurate diagnosis of TB and rifampicin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resistance. Further research is required to optimise the diagnosis-to-treatment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pathway.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2025. The Authors.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10.4102/sajhivmed.v26i1.1705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PMC12224061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40612624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. iScience. 2025 Jun 7;28(7):112839. doi: 10.1016/j.isci.2025</w:t>
      </w:r>
      <w:r w:rsidR="006B61E7" w:rsidRPr="006B61E7">
        <w:rPr>
          <w:rFonts w:ascii="宋体" w:eastAsia="宋体" w:hAnsi="宋体" w:cs="宋体"/>
          <w:b/>
          <w:color w:val="FF0000"/>
          <w:szCs w:val="24"/>
        </w:rPr>
        <w:t xml:space="preserve">.112839. eCollection 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2025 Jul 18.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Protection of infant mice against pertussis, tuberculosis and influenza by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co-administration of nasal pertussis vaccine candidate BPZE1 and BCG.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Rouanet C(1), Debrie AS(1), Cauchi S(1), Mielcarek N(1).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(1)University of Lille, CNRS, Inserm, CHU Lille, Institut Pasteur Lille,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U1019-UMR 9017-CIIL-Center for Infection and Immunity of Lille, 59000 Lille,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Protecting neonates at risk of serious pertussis disease or death represents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global emergency. BPZE1 is the most advanced, next-generation pertussis vaccine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undergoing clinical evaluation in children and adults. We investigated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feasibility of co-administering BPZE1 and Bacillus Calmette-Guerin (BCG),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most widely used tuberculosis vaccine worldwide. We showed that BPZE1 can be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co-administered with BCG without altering its immunogenicity and protective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efficacy against B. pertussis in infant mice. Conversely, BCG immunogenicity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protective efficacy against M. tuberculosis are not affected by BPZE1. Both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vaccines induce off-target protection against heterologous infections. In this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study, we showed that BPZE1 and BCG alone or in combination induced high levels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protection against influenza challenge in infant mice. In contrast to BCG,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off-target properties of BPZE1 were independent of the age of vaccination.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Vaccination with BPZE1 might be considered at the same time as BCG, facilitating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its effective implementation in the childhood immunization schedule.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10.1016/j.isci.2025.112839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PMC12221715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40612502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. SA J Radiol. 2025 Jun 20;29(1):3139. doi: 10.410</w:t>
      </w:r>
      <w:r w:rsidR="006B61E7">
        <w:rPr>
          <w:rFonts w:ascii="宋体" w:eastAsia="宋体" w:hAnsi="宋体" w:cs="宋体"/>
          <w:b/>
          <w:color w:val="FF0000"/>
          <w:szCs w:val="24"/>
        </w:rPr>
        <w:t xml:space="preserve">2/sajr.v29i1.3139. eCollection 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 rare case of intercostal-to-pulmonary artery fistula and its endovascular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treatment in the setting of post pulmonary tuberculosis bronchiectasis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haemoptysis.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Majozini L(1), Nkosi W(1).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Radiology, Faculty of Health Sciences, School of Clinical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Medicine, University of the Witwatersrand, Johannesburg,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Intercostal artery-to-pulmonary artery fistula is an extremely rare variant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systemic artery-to-pulmonary artery fistulas (SA-PAFs). A case of a 38-year-old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man presenting with clinically significant haemoptysis secondary to 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intercostal artery-to-pulmonary artery fistula in the setting of post-pulmonary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(TB) bronchiectasis is described. The fistulae were successfully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treated with endovascular coils.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 xml:space="preserve">CONTRIBUTION: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This case report illustrates an intercostal artery-to-pulmonary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artery fistula associated with post-primary tuberculosis bronchiectasis,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highlighting its multimodal radiological features and successful endovascular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2025. The Authors.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10.4102/sajr.v29i1.3139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PMC12223871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40612284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Sage Open Pediatr. 2025 Mar 21;12:30502225251319895. doi: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10.1177/30502225251319895. eCollection 2025 Jan-Dec.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Isolated Tuberculous Brain Abscess in a 7-Year-Old Child: A Rare Presentation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CNS Tuberculosis: A Case Report.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Wubishet M(1), Shimelis B(2), Abdulahi M(2), Zena D(1).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(1)Arsi University College of Health Sciences, Asella, Ethiopia.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(2)Haramaya University College of Health and Medical Sciences, Harar, Ethiopia.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Background.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Tuberculous brain abscess (TBA) is a rare and often overlooked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manifestation of central nervous system tuberculosis (CNS TB), particularly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children. The occurrence of isolated TBAs, where there is no clinical 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radiological evidence of tuberculosis elsewhere in the body, is exceedingly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uncommon in pediatric patients. </w:t>
      </w:r>
      <w:r w:rsidRPr="006B61E7">
        <w:rPr>
          <w:rFonts w:ascii="宋体" w:eastAsia="宋体" w:hAnsi="宋体" w:cs="宋体"/>
          <w:b/>
          <w:color w:val="000000" w:themeColor="text1"/>
          <w:szCs w:val="24"/>
        </w:rPr>
        <w:t>Case presentation.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A 7-year-old girl presented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with a two-week history of persistent headaches and progressive left-sided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weakness. Initially diagnosed and treated for pyogenic brain abscesses. However,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microbiological and histopathological analysis of the drained abscess revealed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presence of acid-fast bacilli (AFB) and a positive CBNAAT for Mycobacterium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tuberculosis, confirming TBA. The patient was successfully treated with surgical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drainage and a course of anti-tubercular therapy (ATT).</w:t>
      </w:r>
      <w:r w:rsidRPr="00FB0292">
        <w:rPr>
          <w:rFonts w:ascii="宋体" w:eastAsia="宋体" w:hAnsi="宋体" w:cs="宋体"/>
          <w:b/>
          <w:color w:val="000000" w:themeColor="text1"/>
          <w:szCs w:val="24"/>
        </w:rPr>
        <w:t xml:space="preserve"> Conclusion.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Isolated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TBA, though rare, is a critical diagnostic consideration in pediatric CNS TB,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especially in tuberculosis-endemic regions. This case emphasizes the need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consider Mycobacterium tuberculosis in the differential diagnosis of pediatric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brain abscesses, particularly in regions wit</w:t>
      </w:r>
      <w:bookmarkStart w:id="0" w:name="_GoBack"/>
      <w:bookmarkEnd w:id="0"/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 a high tuberculosis burden. It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also highlights the need for routine tuberculosis testing, including CBNAAT, 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all pus samples from intracranial abscesses to ensure timely and accurate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diagnosis.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Author(s)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10.1177/30502225251319895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PMC12220871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40612180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87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. IJID Reg. 2025 Apr 11;15:100649. doi: 10.1016/j.i</w:t>
      </w:r>
      <w:r w:rsidR="006B61E7" w:rsidRPr="006B61E7">
        <w:rPr>
          <w:rFonts w:ascii="宋体" w:eastAsia="宋体" w:hAnsi="宋体" w:cs="宋体"/>
          <w:b/>
          <w:color w:val="FF0000"/>
          <w:szCs w:val="24"/>
        </w:rPr>
        <w:t xml:space="preserve">jregi.2025.100649. eCollection 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2025 Jun.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preventive treatment in India: Is budget allocation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tuberculosis elimination sufficient?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Singh S(1).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(1)Aarupadai Veedu Medical College and Hospital, Vinayaka Mission's Research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Foundation (Deemed University), Pondicherry,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10.1016/j.ijregi.2025.100649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PMC12225025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40611933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88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. IJID Reg. 2025 Apr 15;15:100647. doi: 10.1016/j.i</w:t>
      </w:r>
      <w:r w:rsidR="006B61E7" w:rsidRPr="006B61E7">
        <w:rPr>
          <w:rFonts w:ascii="宋体" w:eastAsia="宋体" w:hAnsi="宋体" w:cs="宋体"/>
          <w:b/>
          <w:color w:val="FF0000"/>
          <w:szCs w:val="24"/>
        </w:rPr>
        <w:t xml:space="preserve">jregi.2025.100647. eCollection 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2025 Jun.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treatment outcomes and their related factors in patients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treated at the Antituberculosis Center of Brazzaville, Republic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Congo.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Ngouama BB(1)(2), Mouzinga FH(1)(2), Dello MNM(1)(2), Djontu JC(1), Elion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Assiana DO(1)(2)(3), Okemba Okombi FH(3)(4), Tchuandom SB(3), Ayet MI(5), Siele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LK(5), Vouvoungui JC(1), Grobusch MP(6)(7)(8)(9)(10), Mouanga AM(1)(4), Mbozo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ABV(2), Ntoumi F(1)(6).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(1)Fondation Congolaise pour la Recherche Médicale, Brazzaville, Republic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Congo.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(2)Faculté des Sciences et Techniques, Université Marien Ngouabi, Brazzaville,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Republic of Congo.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(3)Programme National de Lutte contre la Tuberculose, Brazzaville, Republic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Congo.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(4)Faculté des Sciences de la Santé, Université Marien Ngouabi, Ngouabi,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Republic of Congo.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(5)Centre Antituberculeux de Brazzaville, Brazzaville, Republic of Congo.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(6)Institute of Tropical Medicine, University of Tübingen, and German Center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Infection Research (DZIF), Tübingen, Germany.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(7)Center for Tropical Medicine and Travel Medicine, Department of Infectious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Diseases, Amsterdam University Medical Centers, location AMC, Amsterdam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Infection &amp; Immunity, Amsterdam Public Health - Global Health, Amsterdam,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(8)Centre de Recherches Médicales de Lambaréné (CERMEL), Lambaréné, Gabon.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(9)Masanga Medical Research Unit (MMRU), Masanga, Sierra Leone.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(10)Institute of Infectious Diseases and Molecular Medicine, University of Cape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Town, Cape Town,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(TB) treatment outcome is one of the key indicators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evaluate the performance of TB control programs. This study aims to assess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treatment outcomes and their related associated factors in patients treated at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the Antituberculosis Center of Brazzaville, Republic of Congo.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A prospective cohort study was conducted at the Antituberculosis Center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Brazzaville from July 2022 to August 2023, involving 305 patients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pulmonary TB diagnosed with the GenXpert MTB/RIF assay. These patients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closely monitored using acid-fast bacillus microscopy while receiving treatment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based on whether they were drug-sensitive (DS) or drug-resistant. Sputum samples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from patients who were DS were analyzed at 2, 5, and 6 months, whereas patients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who were multi-drug-resistant (MDR) underwent a monthly sputum analysis for 9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months.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overall successful treatment rate was 80.3%, with 70.8% of patients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cured and 9.5% completing treatment. Conversely, 19.7% experienced unsuccessful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outcomes, including 13.4% loss to follow-up, 3.6% deaths, and 1.6% treatment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failures. The treatment success in individuals co-infected with HIV was 46.7%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(seven of 15), whereas it was 42% (eight in 19) in patients who were MDR.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HIV-negative status (adjusted odds ratio = 5.11; 95% confidence interval: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1.73-13.44) and DS-TB (adjusted odds ratio = 8.29; 95% confidence interval: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3.17-21.04) were associated with increased success of treatment outcome.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overall TB treatment success rate was below the World Health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Organization End TB Strategy threshold, with a high proportion of patients lost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to follow-up and a low treatment success in patients with TB/HIV and those who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were MDR. The findings highlight the need to enhance supervision, improve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directly observed treatment short course monitoring, and develop strategies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minimize patients lost to follow-up.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10.1016/j.ijregi.2025.100647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PMC12225031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40611930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. IJID Reg. 2025 Apr 12;15:100650. doi: 10.1016/j.i</w:t>
      </w:r>
      <w:r w:rsidR="006B61E7" w:rsidRPr="006B61E7">
        <w:rPr>
          <w:rFonts w:ascii="宋体" w:eastAsia="宋体" w:hAnsi="宋体" w:cs="宋体"/>
          <w:b/>
          <w:color w:val="FF0000"/>
          <w:szCs w:val="24"/>
        </w:rPr>
        <w:t xml:space="preserve">jregi.2025.100650. eCollection 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2025 Jun.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Strengthening tuberculosis control: addressing gaps in screening, diagnosis,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funding.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Shah H(1), Patel J(1), Rai S(1), Sen A(1).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(1)Indian Institute of Public Health Gandhinagar (IIPHG), Gandhinagar,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10.1016/j.ijregi.2025.100650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PMC12225026</w:t>
      </w:r>
    </w:p>
    <w:p w:rsidR="00660A4C" w:rsidRPr="00660A4C" w:rsidRDefault="006B61E7" w:rsidP="00660A4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40611929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0. bioRxiv [Preprint]. 2025 Jun 19:2025.06.19.660520. doi: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10.1101/2025.06.19.660520.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unique role of nucS -mediated non-canonical mismatch repair in Mycobacterium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tuberculosis resistance evolution.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Martín-Blecua I, Valverde JR, García-Bravo P, Ruiz-Enamorado Á, Prados-Rosales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R, Sastre-Domínguez J, Das L, Jacobs WR, San Millán Á, Blázquez J, Gullón 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DNA surveillance mechanisms play a vital role in maintaining genome stability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minimizing mutation rates. One such mechanism, post-replicative mismatch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repair (MMR), corrects replication errors that escape DNA polymerase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proofreading activity. In most bacteria and eukaryotes, MMR is orchestrated by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MutS and MutL proteins. However, certain archaeal and actinobacterial species,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including the major human pathogen Mycobacterium tuberculosis , lack these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components. Instead, they rely on the nuclease EndoMS/NucS, a structurally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distinct enzyme that governs a non-canonical MMR pathway. Given that M.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acquires drug resistance exclusively through chromosomal mutations,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understanding mutation rate regulation in this pathogen is critical.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Nevertheless, despite its anticipated significance, the role of NucS in drug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resistance evolution remains largely unexplored in this organism. This study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investigates NucS function in M. tuberculosis and uncovers a unique resistance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dynamic distinct from other Actinobacteria. While nucS deletion alters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mutational spectrum, it minimally affects the emergence of rifampicin-,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isoniazid-, and ethambutol-resistant mutations, in stark contrast to its role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other Actinobacteria. We demonstrated that this atypical behaviour is not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attributable to the presence of a single NucS polymorphism, R144S, in the NucS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sequence of the M. tuberculosis reference strain H37Rv, which differs from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NucS consensus sequence. Constructing and analysing an H37Rv variant possessing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NucS consensus sequence revealed a subtly altered mutational spectrum but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unchanged mutation rates. Notably, database analysis of the R144S polymorphism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clinical isolates revealed its prevalence and significant association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ethambutol resistance. These findings challenge the established view that nucS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serves as a genome stability guardian that minimizes mutation rates in M.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, suggesting additional mismatch repair mechanisms beyond NucS or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highly efficient replication system in this pathogen.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10.1101/2025.06.19.660520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PMC12224545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40611901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1. Biochemistry (Mosc). 2025 Jun;90(6):754-772. doi: 10.1134/S0006297925600073.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Multiepitope mRNA Vaccine mRNA-mEp21-FL-IDT Provides Efficient Protection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against M. 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Kazakova AA(1), Shepelkova GS(2), Kukushkin IS(1), Yeremeev VV(2), Ivanov RA(1),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Reshetnikov VV(3).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(1)Sirius University of Science and Technology, Sirius Federal Territory,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354340, Russia.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(2)Central Tuberculosis Research Institute, Moscow, 107564, Russia.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(3)Sirius University of Science and Technology, Sirius Federal Territory,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354340, Russia. reshetnikov.vv@talantiuspeh.ru.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is a leading cause of death from a bacterial infection agent.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development of new tuberculosis vaccines can reduce the number of new cases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tuberculosis-related deaths. One of the most promising areas in vaccination 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development of mRNA vaccines, which have already proven their high effectiveness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against COVID-19 and other viral infections. Using modern immunoinformatic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methods, we developed four new antituberculosis multiepitope mRNA vaccines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differing in the encoded adjuvants and codon composition and tested their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immunogenicity and protectivity in mice. Most of the developed mRNA vaccines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induced the formation of both cellular and humoral immunity. The adaptive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response was stronger for the vaccines with the RpfE adjuvant; however, the best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protective response was elicited by the mRNA-mEp21-FL-IDT vaccine with the FL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adjuvant. This vaccine reduced the mycobacterial load in the lungs of mice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infected with Mycobacterium tuberculosis and increased their survival rate.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Altogether, our results indicate that the mRNA-mEp21-FL-IDT vaccine ensures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effective protection against tuberculosis comparable to that provided by the BCG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vaccine.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10.1134/S0006297925600073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40609994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92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Pan Afr Med J. 2025 Apr 2;50:91. doi: 10.11604/pamj.2025.50.91.46218.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treatment adherence and associated factors in the Butha-Buthe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district, Lesotho: a retrospective cohort study.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Rangoanana M(1), Ngah V(1), Tamuzi JL(1), Maphalale S(2), Molete M(2), Ratikoane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R(2), Maama L(3), Fwemba I(4), Daramola O(5), Ogunrombi M(6), Nyasulu PS(1)(7).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(1)Division of Epidemiology and Biostatistics, Department of Global Health,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Faculty of Medicine and Health Sciences, Stellenbosch University, Cape Town,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(2)District Health Management Team of Butha-Buthe, Ministry of Health Lesotho,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Maseru, Lesotho.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(3)National Tuberculosis Program, Ministry of Health Lesotho, Maseru, Lesotho.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(4)School of Public Health, University of Zambia, and Vanderbilt Medical Center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 of Zambia, Lusaka, Zambia.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(5)Department of Informatics, Faculty of Engineering, Built Environment and IT,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 of Pretoria, Pretoria,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(6)Department of Clinical Pharmacology, Sefako Makgatho Health Sciences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University, Pretoria,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(7)Division of Epidemiology and Biostatistics, School of Public Health, Faculty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of Health Sciences, Stellenbosch University, Cape Town,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Lesotho remains one of the world's 30 high-tuberculosis (TB)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burden countries. In Butha-Buthe district, unfavourable TB treatment outcomes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were higher than those set forth by the WHO. This study's objective was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evaluate TB treatment adherence and treatment resistance among patients enrolled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 the 12 health facilities in Butha-Buthe.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data were collected from the medical records of patients with sputum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smear-positive TB and extra-pulmonary forms of TB between January 2015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December 2020. Results were presented in frequencies and percentages. Univariate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multivariable logistic regression analyses were conducted to identify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factors associated with treatment adherence.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among 1,792 patients who were enrolled, 1,320 were included in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study. The overall mean TB treatment adherence rate was estimated at 37.20%.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Factors found to be associated with treatment adherence in multivariate analysis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 xml:space="preserve">were age ≥60 years (aOR: 0.59, 95%CI: 0.54- 0.66; P&lt;0.001), being a mine worker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(aOR 1.09, 95%CI: 1.03-1.14; P&lt;0.001), having pulmonary TB (aOR: 1.23, 95%CI: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1.17-1.29, P&lt;0.001), being in the continuation phase of the treatment (aOR 1.38,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95%CI: 1.33, 1.45; P&lt;0.001) and category 2 (aOR 0.93, 95%CI: 0.88-0.99; P =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0.016). Regarding TB contact support, family members (aOR: 1.08, 95%CI: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1.03-1.14; P&lt;0.001), friends (aOR 1.30, 95%CI: 1.19-1.41; P&lt;0.001), spouses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(aOR: 1.24, 95%CI 1.16-1.34; P&lt;0.001), and unreported contacts (aOR 1.18, 95%CI: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1.09-1.27; P = 0.015) all showed increased TB adherence.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overall adherence to TB therapy was poor in Butha-Buthe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district. Lesotho urgently needs district-level strategies to improve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treatment adherence and reduce treatment resistance.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Copyright: Motlatsi Rangoanana et 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10.11604/pamj.2025.50.91.46218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PMC12220024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</w:t>
      </w:r>
      <w:r w:rsidR="006B61E7">
        <w:rPr>
          <w:rFonts w:ascii="宋体" w:eastAsia="宋体" w:hAnsi="宋体" w:cs="宋体"/>
          <w:color w:val="000000" w:themeColor="text1"/>
          <w:szCs w:val="24"/>
        </w:rPr>
        <w:t xml:space="preserve"> 40607270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93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. Mater Sociomed. 2025;37(2):169-174. doi: 10.5455/msm.2025.37.169-174.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Abdominal Tuberculosis in a Young Female Immigrant-"the Great Masquerader" in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Nonendemic Country-a Case Report and Literature Review.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Dimova A(1), Fures R(2)(3), Konjevod J(1), Hrgovic Z(4), Malojcic SM(2)(3),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Kranjcec B(5).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Surgery. Zabok General Hospital and Croatian Veterans Hospital,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Zabok, Republic of Croatia.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Gynecology and Obstetrics. Zabok General Hospital and Croatian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Veterans Hospital, Zabok, Republic of Croatia.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(3)Faculty of Health Studies, University of Rijeka, Republic of Croatia.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(4)Johann Wolfgang Goethe University, Frankfurt am Main, Germany.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(5)Laboratory of Medical Biochemistry. Zabok General Hospital and Croatian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Veterans Hospital, Zabok, Republic of Croatia.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Tuberculosis (TB), primarily recognized as a pulmonary disease, can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manifest in various extrapulmonary forms, with abdominal tuberculosis (ATB)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being one of the most common. Abdominal tuberculosis is one of the diseases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known as "the great imitator" - it can mimic the clinical presentation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various diseases that are more common, such as appendicitis, acute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cholecystitis, colitis, and some malignant diseases such as colon or stomach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neoplasms. Diagnosis of ATB is often delayed, especially if a clinician in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nonendemic country does not include ATB in the differential diagnosis. Given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rising migration of people from the endemic to the nonendemic countries, we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believe it is mandatory to raise consciousness about this clinical entity, 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well as to lower a threshold to include ATB in the differential diagnosis.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We present a case of a 31-year-old patient from Nepal, who was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admitted through the emergency department of General Hospital Zabok, Croatia,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with signs of acute abdomen, later successfully diagnosed and treated for ATB.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We also deliver a brief literature review, summarizing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epidemiology, clinical presentation, diagnostic and therapeutic algorithms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ATB. Migrations are inevitably changing the vaccination status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epidemiological risks of any host country.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: Medical personnel should keep upgrading and revising their knowledge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the "usual suspects" whilst differentially diagnosing both immigrants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non-immigrants, in order to make timely and good quality diagnosis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 Ana Dimova, Rajko Fures, Janja Konjevod, Zlatko Hrgovic, Sanja Malinac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Malojcic, Bojana Kranjcec.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10.5455/msm.2025.37.169-174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PMC12212218</w:t>
      </w:r>
    </w:p>
    <w:p w:rsidR="00660A4C" w:rsidRPr="00660A4C" w:rsidRDefault="006B61E7" w:rsidP="00660A4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lastRenderedPageBreak/>
        <w:t>PMID: 40607095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94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Front Microbiol. 2025 Jun 18;16:1634229. doi: 10.3389/fmicb.2025.1634229.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vivo profiling of the PE/PPE proteins of Mycobacterium tuberculosis reveals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diverse contributions to virulence.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Koleske B(1), Shen J(1), Gupta M(1), Bishai WR(1).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(1)Center for Tuberculosis Research, Department of Medicine, Johns Hopkins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 School of Medicine, Baltimore, MD, United States.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Mycobacterium tuberculosis (M.tb) uses a plethora of cell surface and secreted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virulence factors to survive within the host. Among these are the PE/PPE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proteins, a pair of secretory families that have expanded to 168 members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M.tb. Most of these proteins are poorly characterized due in part to their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repetitive sequences and high similarity to one another. While PE/PPE genes are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generally non-essential in vitro, many are highly expressed during animal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infection. Thus, we conducted an in vivo pooled screen of 87 transposon mutants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M.tb PE/PPE genes and used Tn-seq to identify mutants with fitness defects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mouse lung environment. We found consistent, time-dependent changes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mutant abundance across our animal replicates and identified decreases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several key mutant strains known to promote bacterial growth or virulence.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all, 27 of the 87 mutants showed significant reductions in percent population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prevalence in the lung over 3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weeks. We then selected a transposon mutant in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PPE71 gene and validated that this strain was attenuated in a single-strain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infection. Our findings suggest that a high proportion of PE/PPE genes (31%) are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required for virulence in the mouse model. These observations suggest that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individual PE/PPE genes have differing contributions to virulence and may help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prioritize future studies of these families. Strikingly, these properties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seen only in an in vivo model, which may imply a role for PE/PPE proteins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M.tb host-pathogen interactions.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 Koleske, Shen, Gupta and Bishai.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10.3389/fmicb.2025.1634229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PMC12213770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40606173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95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Front Microbiol. 2025 Jun 18;16:1586476. doi: 10.3389/fmicb.2025.1586476.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Feature selection and aggregation for antibiotic resistance GWAS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Mycobacterium tuberculosis: a comparative study.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Reshetnikov K(1), Bykova D(1)(2), Kuleshov K(1)(3), Chukreev K(1), Guguchkin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E(4), Neverov A(5), Fedonin G(1).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(1)Central Research Institute of Epidemiology, Moscow, Russia.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(2)Faculty of Bioengineering and Bioinformatics, Moscow State University,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Moscow, Russia.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(3)Federal State Budget Scientific Institution "Federal Scientific Center VIEV",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Moscow, Russia.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(4)Ufa Federal Research Center of the Russian Academy of Sciences, Ufa, Russia.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(5)Faculty of Computer Science/Institute of Artificial Intelligence and Digital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Sciences/International Laboratory for Statistical and Computational Genomics,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HSE University, Moscow, Russia.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Drug resistance (DR) of pathogens remains a global healthcare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concern. In contrast to other bacteria, acquiring mutations in the core genome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is the main mechanism of drug resistance for Mycobacterium tuberculosis (MTB).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For some antibiotics, the resistance of a particular isolate can be reliably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predicted by identifying specific mutations, while for other antibiotics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knowledge of resistance mechanisms is limited. Statistical machine learning (ML)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methods are used to infer new genes implicated in drug resistance leveraging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large collections of isolates with known whole-genome sequences and phenotypic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states for different drugs. However, high correlations between the phenotypic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states for commonly used drugs complicate the inference of true associations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mutations with drug phenotypes by ML approaches.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Recently, several new methods have been developed to select a small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subset of reliable predictors of the dependent variable, which may help reduce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number of spurious associations identified. In this study, we evaluated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several such methods, namely, logistic regression with different regularization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penalty functions, a recently introduced algorithm for solving the best-subset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selection problem (ABESS) and "Hungry, Hungry SNPos" (HHS) a heuristic algorithm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specifically developed to identify resistance-associated genetic variants in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presence of resistance co-occurrence. We assessed their ability to select known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causal mutations for resistance to a specific drug while avoiding the selection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mutations in genes associated with resistance to other drugs, thus we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compared selected ML models for their applicability for MTB genome wide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association studies.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RESULTS AND DISCUSSION: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In our analysis, ABESS significantly outperformed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other methods, selecting more relevant sets of mutations. Additionally, we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demonstrated that aggregating rare mutations within protein-coding genes into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markers indicative of changes in PFAM domains improved prediction quality,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these markers were predominantly selected by ABESS, suggesting their high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informativeness. However, ABESS yielded lower prediction accuracy compared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logistic regression methods with regularization.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Copyright © 2025 Reshetnikov, Bykova, Kuleshov, Chukreev, Guguchkin, Neverov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Fedonin.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10.3389/fmicb.2025.1586476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PMC12213493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40606161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96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Cureus. 2025 Jun 2;17(6):e85216. doi: 10.7759/cureus.85216. eCollection 2025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Jun.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Extrapulmonary Tuberculosis Mimicking an Iliac Bone Lytic Lesion: A Case Report.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Alobud MM(1), Alqarni SAM(1), Alqahtani BS(1), Alasiri TY(1), Alshehri AA(1).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(1)Orthopaedic Surgery, Armed Forces Hospital Southern Region, Khamis Mushait,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SAU.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Lytic bone lesions pose significant diagnostic challenges due to their varied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causes, ranging from malignancies to infections and benign conditions.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Tuberculous osteomyelitis, though rare in non-endemic regions, remains 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important consideration, particularly in patients from high-burden areas.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35-year-old Sudanese male with a family history of tuberculosis (TB) presented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with chronic left iliac pain that did not respond to nonsteroidal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anti-inflammatory drugs (NSAIDs). Imaging revealed an expansile lytic lesion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with cortical breaching, initially raising suspicion for malignancy. However,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biopsy showed necrotizing granulomatous osteomyelitis, though cultures -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including those for Mycobacterium tuberculosis - were negative. Despite the lack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microbiological confirmation, the patient showed clinical and radiological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improvement after starting empirical anti-TB therapy. This case highlights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need to consider tuberculous osteomyelitis in the differential diagnosis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lytic bone lesions, even in the absence of positive cultures, especially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individuals from endemic regions. Histopathological evidence of granulomas and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positive response to anti-TB therapy can support the diagnosis when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microbiological tests are inconclusive. Greater awareness of this possibility 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essential to prevent delays in treatment and unnecessary invasive procedures.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2025, Alobud et 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10.7759/cureus.85216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PMCID: PMC12215177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40605888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97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Cureus. 2025 Jun 2;17(6):e85235. doi: 10.7759/cureus.85235. eCollection 2025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Jun.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Tuberculous Spondylodiscitis: A Report of Two Cases and Literature Review.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Kehayov II(1), Davarski AN(1), Slavov GS(2), Kitov BD(1).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Neurosurgery, Faculty of Medicine, Medical University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Plovdiv, Plovdiv, BGR.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Neurology, Faculty of Medicine, Medical University of Plovdiv,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Plovdiv, BGR.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ranks as one of the most deadly infectious diseases globally. While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it primarily attacks the lungs, it can also develop in other parts of the body.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It can involve the vertebral column, a condition known as Pott's disease. How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often it occurs, what symptoms appear, and how severe it becomes all depend 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which spinal segments are involved and how much bone has been damaged. Because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signs of Pott's disease are varied and often vague, even modern healthcare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systems can struggle to diagnose it promptly. This delay is the main reason why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many patients go on to suffer neurological impairments, spinal instability,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generally poor outcomes, often without ever regaining full neurological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function. In this report, we describe two cases of tuberculous spondylodiscitis,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highlighting their clinical presentations and imaging results, and we review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literature to outline the most effective strategies for diagnosis and treatment.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2025, Kehayov et 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10.7759/cureus.85235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PMC12220833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40605872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98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Cureus. 2025 Jun 2;17(6):e85228. doi: 10.7759/cureus.85228. eCollection 2025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Jun.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Chronic Eosinophilic Pneumonia With Overlapping Emphysema and Fibrosis: 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Atypical Presentation of Recurrent Pulmonary 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Cardona A(1)(2), Villa-Pérez S(3)(2), Cohen-Mejía S(2), Eusse-Ríos S(2),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Pérez-Quintero AF(2), Echeverri-Baena MA(2).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(1)Pathology, Hospital Pablo Tobón Uribe, Medellin, COL.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(2)School of Medicine, Universidad EIA, Medellin, COL.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(3)Internal Medicine, Hospital Pablo Tobón Uribe, Medellin, COL.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This case report describes an atypical presentation of recurrent pulmonary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in a patient with chronic respiratory symptoms and eosinophilia,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initially misdiagnosed as chronic eosinophilic pneumonia. Despite suggestive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clinical and radiological features, a final diagnosis was only reached after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prolonged microbiological culture. The case underscores the diagnostic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complexity of interstitial lung diseases and emphasizes the importance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maintaining a broad differential, particularly in tuberculosis-endemic regions.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2025, Cardona et 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10.7759/cureus.85228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PMC12218852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40605869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99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. Npj imaging.. 2025 May 28;3(1):22. doi: 10.1038/s44303-025-00082-2.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PET imaging of mycobacterial infection: transforming the pipeline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tuberculosis drug development.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Kleynhans J(1), Gouws CA(2), Ebenhan T(3)(4).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and Pharmacological Sciences,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Radiopharmaceutical Research, Katholieke Universiteit Leuven, Leuven, Belgium.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(2)Preclinical Imaging Facility, Nuclear Medicine Research Infrastructure NPC,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Pretoria,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(3)Preclinical Imaging Facility, Nuclear Medicine Research Infrastructure NPC,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Pretoria, South Africa. thomas.ebenhan@up.ac.za.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(4)Department of Nuclear Medicine, University of Pretoria, Pretoria, South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Africa. thomas.ebenhan@up.ac.za.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Improved PET/CT radiopharmaceuticals can better visualize and monitor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and enable real-time pharmacological drug profiling in vivo. PET/CT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imaging can therefore be used to study in animal models the changes in tissue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pathology in tuberculosis infection, such as mycobacterial latency, tuberculoma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formation, lung cavitation or calcification, and extrapulmonary disease. This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Perspective aims to critically evaluate the current and future contribution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role of PET imaging in anti-tuberculosis drug development.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lastRenderedPageBreak/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10.1038/s44303-025-00082-2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40604239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100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Redox Biol. 2025 Jun 25;85:103741. doi: 10.1016/j.redox.2025.103741. Online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inhibition of TXNRD1 by methylglyoxal impairs the intracellular control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Mycobacterium 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Li H(1), Liu R(1), Kathamuthu GR(1), Gencheva R(2), Gong Z(1), Scholz AT(2),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Alzrigat M(1), Coppo L(2), Arnér ESJ(3), Rottenberg ME(4).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(1)Dept Microbiology, Tumor and Cell Biology, Stockholm, Sweden.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(2)Division of Biochemistry, Dept of Medical Biochemistry and Biophysics,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Karolinska Institutet, Stockholm, Sweden.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(3)Division of Biochemistry, Dept of Medical Biochemistry and Biophysics,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Karolinska Institutet, Stockholm, Sweden; Dept of Selenoprotein Research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National Tumor Biology Laboratory, National Institute of Oncology, Budapest,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Hungary.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(4)Dept Microbiology, Tumor and Cell Biology, Stockholm, Sweden. Electronic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address: martin.rottenberg@ki.se.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Type 2 diabetes (DM) is a risk factor for development of tuberculosis (TB).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Methylglyoxal (MGO), a reactive carbonyl increased during DM targets diverse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macromolecules. Here we discovered that MGO converted the mammalian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selenoprotein thioredoxin reductase 1 (TXNRD1) to a NADPH oxidase, activating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NRF2 transcription factor in bone marrow macrophages (BMM). NRF2 signaling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hampered the production of immune molecules by BMM, thus allowing intracellular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growth of M. tuberculosis (Mtb). The overexpression of NRF2 was sufficient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increase the Mtb growth. Several inhibitors of TXNRD1 mimicked the effects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MGO on Mtb growth in BMM. MGO and the TXNRD1 inhibitor auranofin also increased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susceptibility of mice to Mtb infection. Finally, IFN-γ abrogated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MGO-triggered suppression of the protective responses to Mtb in BMM, by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epigenetic regulation of immune genes, without impairing NRF2 activation. Thus,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metabolic alterations in DM may have a causative role in TB-DM comorbidity, by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activating NRF2 responses that impair immune protective responses.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B.V. All rights reserved.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10.1016/j.redox.2025.103741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40602278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101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. Dan Med J. 2025 Jun 12;72(7):A12240847. doi: 10.61409/A12240847.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Precision of tuberculosis diagnosis codes in the Central Denmark Region.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Dahl VN(1), Moestrup PG(2), Koch A(3)(4), Folkvardsen DB(5), Rudolf F(1), Gissel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TN(6), Fløe A(2).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(1)Department of Infectious Diseases, Aarhus University Hospital.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(2)Department of Respiratory Diseases and Allergy, Aarhus University Hospital.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 Epidemiology and Prevention, Statens Serum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Institut.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Copenhagen University Hospital -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Rigshospitalet.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(5)International Reference Laboratory of Mycobacteriology, Statens Serum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Institut.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(6)Department of Respiratory Diseases, Viborg Regional Hospital, Denmark.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Correct use of tuberculosis (TB) diagnosis codes is essential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 care, surveillance and resource allocation. We aimed to assess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positive predictive value (PPV) of TB diagnosis codes.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In this retrospective cohort study, we identified patients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International Classification of Diseases, tenth version (ICD-10) TB diagnosis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codes from 1 July 2020 to 30 June 2023, at two TB centres in the Central Denmark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Region. Confirmed TB was defined as microbiologically confirmed TB, prescription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 xml:space="preserve">of ≥ 3 first- or second-line TB drugs, or TB notification. All patients who did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not meet these criteria and those who received fewer than three TB drugs 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lacked TB notification underwent manual hospital record review to verify 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exclude the TB diagnosis. PPVs were calculated as the proportion of confirmed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diagnoses among all patients with a TB diagnosis code.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In total, 185/230 patients were confirmed to have TB, yielding a PPV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80% (95% CI: 75; 85). The PPVs for TB microbiology, TB prescriptions and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notification exceeded 95% individually. Excluding TB lupus codes increased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PPV to 89% (95% CI: 84; 93). Patients with more than one different type of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diagnosis code had a PPV of 100% (95% CI: 93; 100). Additionally, PPVs were high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when TB diagnosis codes appeared on multiple occasions, increasing with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number of occurrences (≥ 2: 85%, ≥ 3: 89%, ≥ 4: 93%).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TB ICD-10 diagnosis codes demonstrate a moderately high PPV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Denmark, particularly when excluding TB lupus codes, highlighting the importance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and complexities of diagnostic coding.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FUNDING: None.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TRIAL REGISTRATION: Not relevant.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Published under Open Access CC-BY-NC-BD 4.0.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https://creativecommons.org/licenses/by-nc-nd/4.0/.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10.61409/A12240847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40600676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102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Front Microbiol. 2025 Jun 17;16:1537826. doi: 10.3389/fmicb.2025.1537826.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Benchmarking pangenome dynamics and horizontal gene transfer in Mycobacterium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marinum evolution.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Shahed K(#)(1), Islam SI(#)(1), Sangsawad P(2), Jung WK(2), Permpoonpattana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P(3), Linh NV(4).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(1)BioMac Lab, Dhaka, Bangladesh.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(2)School of Animal Technology and Innovation, Institute of Agricultural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Technology, Suranaree University of Technology, Nakhon Ratchasima, Thailand.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Agricultural Science and Technology, Faculty of Innovative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Agriculture, Fisheries and Food, Prince of Songkla University, Surat Thani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Campus, Surat Thani, Thailand.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(4)Department of Animal and Aquatic Sciences, Faculty of Agriculture, Chiang Mai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University, Chiang Mai, Thailand.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Horizontal gene transfer (HGT) is a key driver of microbial evolution, promoting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genetic diversity and contributing to the emergence of antibiotic resistance.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This study explores the pangenome dynamics and HGT in Mycobacterium marinum (M.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marinum), a close relative of Mycobacterium tuberculosis. Multiple pangenome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datasets were analyzed to quantify gene gain, loss, and pangenome openness,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utilizing Panstripe and a Generalized Linear Model (GLM) framework to assess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gene presence/absence across strains. Additionally, a comparative benchmarking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analysis of gene ontology (GO) annotations were conducted using eggNOG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InterProScan to evaluate their functional annotation accuracy. Our findings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demonstrated significant differences in gene gain and loss rates, suggesting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variations in annotation accuracy and the presence of mobile genetic elements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(MGE). Single nucleotide polymorphisms (SNPs) were also identified, highlighting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genetic variability that may impact strain-specific traits such 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pathogenicity and antibiotic resistance. Pangenome of M. marinum was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characterized as highly open, with substantial variability in gene content,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reflecting ongoing genetic exchange and adaptability. Functional annotation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benchmarking demonstrated that eggNOG and InterProScan provided complementary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insights, with each tool excelling in distinct strengths of gene function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identification. Overall, these findings highlight the complex interplay between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HGT, pangenome evolution, and antibiotic resistance in M. marinum, and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analytical framework presented here provides a robust approach for future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studies aiming to inform therapeutic interventions and vaccine development.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 Shahed, Islam, Sangsawad, Jung, Permpoonpattana and Linh.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10.3389/fmicb.2025.1537826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PMC12209367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40600140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103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Jun 14;40:100542. doi: </w:t>
      </w:r>
    </w:p>
    <w:p w:rsidR="00660A4C" w:rsidRPr="006B61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6B61E7">
        <w:rPr>
          <w:rFonts w:ascii="宋体" w:eastAsia="宋体" w:hAnsi="宋体" w:cs="宋体"/>
          <w:b/>
          <w:color w:val="FF0000"/>
          <w:szCs w:val="24"/>
        </w:rPr>
        <w:t>10.1016/j.jctube.2025.100542. eCollection 2025 Aug.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Effect of home-based pulmonary rehabilitation on ventilation dynamics and small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airway dysfunction in people with post-tuberculosis lung disease.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Fonseca IMPP(1), de Alegria SG(1), Oliveira JGM(1), Rodrigues TS(2), Chagas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CAODS(2), Carneiro AS(3), Costa W(3), Santos AP(3), Mafort TT(1)(3), Lopes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AJ(1)(3)(4).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(1)Postgraduate Programme in Medical Sciences, School of Medical Sciences,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Universidade do Estado do Rio de Janeiro (UERJ), Rio de Janeiro,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(2)Faculty of Physiotherapy, Centro Universitário Augusto Motta (UNISUAM), Rio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de Janeiro,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Pulmonology, Pedro Ernesto University Hospital, Universidade do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Estado do Rio de Janeiro (UERJ), Rio de Janeiro,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(4)Rehabilitation Sciences Post-Graduation Programme, Augusto Motta University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Centre (UNISUAM), Rio de Janeiro,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As the world moves toward eliminating tuberculosis (TB), there is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large population of TB survivors who still face a significant burden of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complications. However, basic pulmonary rehabilitation program (PRP) packages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for this population are currently lacking. This study aimed to evaluate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effect of home-based PRP (HBPRP) on lung mechanics, exercise capacity,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quality of life (QoL) in people with PTLD (pwPTLD).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This is a quasi-experimental study in pwPTLD who underwent HBPRP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3 months. Before and after HBPRP, the following assessments were performed: QoL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using the St George's Respiratory Questionnaire (SGRQ), general fatigue using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Functional Assessment of Chronic Illness Therapy-Fatigue (FACIT-F), handgrip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strength (HGS), pulmonary function, and functional exercise capacity using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Glittre-ADL test (TGlittre) coupled with measurement of dynamic ventilation.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When comparing pre- and post-HBPRP values, there was a significant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increase in TGlittre time [208 (194-249) vs. 184 (153-211) seconds, P = 0.004]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breathing reserve [56 (34-71) vs. 58 (39-73) %, P = 0.032], and a reduction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end-of-test inspiratory capacity [1.4 (0.9-2.3) vs. 1.6 (1.1-2.6) L,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 = 0.030]. Although no increase in spirometric parameters was observed, there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was an improvement in small airway dysfunction (SAD) as measured by respiratory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oscillometry. Improvements were observed in the Activity and Impacts domains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SGRQ. However, no significant changes were noted in FACIT-F or HGS after </w:t>
      </w:r>
    </w:p>
    <w:p w:rsidR="00660A4C" w:rsidRPr="006B61E7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color w:val="000000" w:themeColor="text1"/>
          <w:szCs w:val="24"/>
        </w:rPr>
        <w:t>HBPRP.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B61E7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6B61E7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pwPTLD, HBPRP improves exercise tolerance, QoL, and SAD, with no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effect on general fatigue and HGS. Therefore, TB programs should ensure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availability of PRP for pwPTLD, including HBPRP.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10.1016/j.jctube.2025.100542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PMC12208941</w:t>
      </w:r>
    </w:p>
    <w:p w:rsidR="00660A4C" w:rsidRPr="00660A4C" w:rsidRDefault="006B61E7" w:rsidP="00660A4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40599748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B61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104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. Cureus. 2025 May 30;17(5):e85105.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cureus.85105. eCollection 2025 </w:t>
      </w:r>
      <w:r w:rsidR="00660A4C" w:rsidRPr="006B61E7">
        <w:rPr>
          <w:rFonts w:ascii="宋体" w:eastAsia="宋体" w:hAnsi="宋体" w:cs="宋体"/>
          <w:b/>
          <w:color w:val="FF0000"/>
          <w:szCs w:val="24"/>
        </w:rPr>
        <w:t>May.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Lymphoproliferative Disorders Mimicked by Tuberculosis: A Retrospective Study 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Lateral Flow Urine Lipoarabinomannan (LF-ULAM) Limitations.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McKinnon AE(1), Spammer YL(1), Sikhosana SA(1).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(1)Internal Medicine, Rob Ferreira Tertiary Hospital, Nelspruit, ZAF.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Introduction The human immunodeficiency virus (HIV) remains South Africa's (SA)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largest epidemic. Furthermore, tuberculosis (TB) continues to be the leading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cause of death in SA. People living with HIV/AIDS (PLHA) are at increased risk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both TB and lymphoproliferative disorders (LPD). PLHA commonly manifest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lymphadenopathy as part of their disease spectrum, with extra-pulmonary TB being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most common cause. Local guidelines recommend lateral flow urine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lipoarabinomannan (LF-ULAM) assay testing for all PLHA admitted to the hospital.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LF-ULAM assay is therefore widely used in SA. The LF-ULAM assay does not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provide definitive confirmation of the cause of lymphadenopathy.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resource-limited settings, TB can impetuously be attributed as the sole cause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lymphadenopathy in many PLHA with positive LF-ULAM assays. Misdiagnosis of LPD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 TB can lead to catastrophic patient outcomes. Therefore, initial correct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diagnosis is of utmost importance. Aims and objectives The aims and objectives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this study are to identify the etiology of lymphadenopathy in PLHA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positive LF-ULAM assays and to highlight the need for a high index of suspicion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 LPD in PLHA with lymphadenopathy. Materials and methods A retrospective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census study was carried out at a tertiary hospital in a rural province of SA.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total of 13 PLHA with lymphadenopathy, diagnosed with disseminated TB by LF-ULAM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assay, were identified for this study. Eligible participants were identified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using medical records from the medical wards. All PLHA included had generalized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lymphadenopathy diagnosed by clinical palpation. Histopathologists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unblinded to LF-ULAM results. The results of TB investigations, excisional lymph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node biopsies, and trephine biopsies from these patients were analyzed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confirm the etiology of their lymphadenopathy. Results A total of 13 PLHA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included in this study. All patients were initiated on anti-tuberculous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treatment (ATT) following LF-ULAM assay positivity. The majority of cases (n =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9/13; 69%) in this small cohort had histological confirmation of an LPD. More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than half of the cases (n = 7/13; 53%) were confirmed to have mycobacterial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disease by means of either histology, culture, or TB nucleic acid amplification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test (NAAT). Conclusion Histological confirmation of the etiology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lymphadenopathy is crucial in PLHA to differentiate between LPD and TB. Empiric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TB treatment without appropriate confirmation of TB can lead to worse patient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outcomes and significantly delay oncological care for PLHA. We recommend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expanding biopsy access in resource-limited settings to prevent diagnostic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delays and improve patient outcomes.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2025, McKinnon et 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10.7759/cureus.85105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PMC12208808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40599503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105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Int J Chron Obstruct Pulmon Dis. 2025 Jun 26;20:2091-2102. doi: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10.2147/COPD.S523732. 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Incidence and Risk Factors of Tuberculosis-Associated Chronic Obstructive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Pulmonary Disease.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Joo DH(#)(1), Kim MC(#)(1), Sin S(2), Kang HR(3), Song JH(3), Kim HJ(1), Song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MJ(1), Kwon BS(1), Kim YW(1), Lee YJ(1), Park JS(1), Lee JH(1), Lee YJ(1).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(1)Division of Pulmonary and Critical Care Medicine, Department of Internal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Medicine, Seoul National University College of Medicine, Seoul National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 Bundang Hospital, Seongnam, Republic of Korea.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(2)Division of Pulmonary and Critical Care Medicine, Department of Internal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Medicine, National Medical Centre, Seoul, Republic of Korea.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(3)Division of Pulmonary, Allergy, and Critical Care Medicine, Department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Internal Medicine, Veterans Health Service Medical Centre, Seoul, Republic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Korea.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PURPOSE: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Chronic obstructive pulmonary disease (COPD) is influenced by multiple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factors. Varying prevalences of tuberculosis-associated COPD exist. However,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studies on its incidence or risk factors are limited. We evaluated the incidence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tuberculosis-associated COPD and compare the characteristics of patients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and without COPD.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PATIENTS AND 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This multicenter, retrospective cohort study included 351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 treated with anti-tuberculosis drugs for more than 6 months in four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hospitals in Korea, followed for 11 years (132 months). The follow-up duration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was divided into quartiles (Q1-Q4) to evaluate the change in the incidence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COPD over time. Clinical data and radiological findings were collected, and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incidence rate ratios were compared using Poisson regression and multivariable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logistic regression analysis to identify risk factors.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Overall, 71 participants developed tuberculosis-associated COPD,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 overall crude incidence of 20.56/1000 person-years. Patients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tuberculosis-associated COPD were older, more likely to be smokers, and had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lower forced expiratory volume in 1 s (FEV1) (L) and lower FEV1/forced vital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capacity. The incidence over 132 months was significantly lower than those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during follow-up, with an incidence rate ratio of 0.49 (p=0.027). Multivariate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analysis revealed that a tuberculosis diagnosis at an older age (adjusted odds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ratio [aOR] 1.04; 95% confidence interval [CI]: 1.01-1.07), lower baseline FEV1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&lt;80% (aOR 3.98; 95% CI: 1.92-8.24), smoking (aOR 3.23; 95% CI: 1.14-9.17),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multilobar involvement of tuberculosis (aOR 2.04; 95% CI: 1.08-3.85) were risk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factors for tuberculosis-associated COPD. The incidence in the Q4 (&gt;132 months,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approximately 11years) was significantly lower than that in the Q1 (18-71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months), with incidence rate ratio of 0.49 (p= 0.027).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Older age at tuberculosis diagnosis, lower baseline FEV1 &lt;80%,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smoking history, and multilobar involvement were identified as risk factors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tuberculosis-associated COPD. The incidence of tuberculosis-associated COPD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decreased 11 years after tuberculosis treatment.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 Joo et 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10.2147/COPD.S523732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PMC12208119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40589917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106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Front Public Health. 2025 Jun 16;13:1600104. doi: 10.3389/fpubh.2025.1600104.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Influence of HIV co-infection on clinical presentation and disease outcome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hospitalized adults with tuberculous meningitis in Brazil: a nationwide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observational study.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Urmenyi LG(1)(2)(3), Vinhaes CL(2)(4)(5), Villalva-Serra K(1)(2)(3)(4),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Araujo-Pereira M(2)(3)(4), Andrade BB(1)(2)(3)(4).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(1)Curso de Medicina, Universidade Salvador, Salvador,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(2)Multinational Organization Network Sponsoring Translational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Epidemiological Research (MONSTER) Initiative, Salvador,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(3)Instituto de Pesquisa Clínica e Translacional, Faculdade Zarns, Clariens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Educação, Salvador,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(4)Laboratório de Pesquisa Clínica e Translacional, Instituto Gonçalo Moniz,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Fundação Oswaldo Cruz, Salvador,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(5)Departamento de Infectologia, Hospital das Clínicas, Faculdade de Medicina da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Universidade de São Paulo, São Paulo,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Tuberculous meningitis (TBM) is a severe form of central nervous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system infection caused by Mycobacterium tuberculosis (Mtb) that is often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associated with significant morbidity and mortality, particularly in people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living with HIV (PLWH). This study investigated differences in clinical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laboratory profiles of TBM cases in Brazil associated with HIV status,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identified factors associated with in-hospital mortality.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We conducted a retrospective analysis of 1,819 hospitalized adult TBM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 reported in the Brazilian Notifiable Diseases Information System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(SINAN) meningitis database from 2007 to 2021. Confirmed cases in hospitalized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individuals aged &gt;18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years with known HIV status were included; pregnant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 were excluded. Clinical and laboratory features were compared by HIV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status and clinical outcomes. Classification and regression tree analysis was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used to identify outcome-based cut-off values for selected continuous variables.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Associations with in-hospital mortality were assessed using backward stepwise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binomial logistic regressions.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majority (57%) of TBM cases comprised of PLWH, who exhibited lower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frequencies of vomiting, nuchal rigidity, signs of meningeal inflammation,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coma, along with lower leukocyte counts in cerebrospinal fluid (CSF) compared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HIV-negative patients. PLWH also displayed lower mortality rates (17.3% vs.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23.2%, p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=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0.002). Features independently associated with mortality included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seizures (aOR: 2.15, 95%CI: 1.39-3.33, p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&lt;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0.001), nuchal rigidity (aOR: 1.57,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95%CI: 1.1-2.23, p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=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0.014), age &gt; 64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years old (aOR: 2.11, 95%CI: 1.08-4.13,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=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0.03), CSF protein concentration </w:t>
      </w:r>
      <w:r w:rsidRPr="00660A4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660A4C">
        <w:rPr>
          <w:rFonts w:ascii="宋体" w:eastAsia="宋体" w:hAnsi="宋体" w:cs="宋体"/>
          <w:color w:val="000000" w:themeColor="text1"/>
          <w:szCs w:val="24"/>
        </w:rPr>
        <w:t>441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mg/dL (aOR: 2:08, 95%CI: 1.39-3.09,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&lt;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0.001) and CSF glucose concentration </w:t>
      </w:r>
      <w:r w:rsidRPr="00660A4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22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mg/dL (aOR: 0.54, 95%CI: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0.38-0.76, p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&lt;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0.001), but not HIV (OR: 0.73, [95%IC: 0.52-1.01], p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=</w:t>
      </w:r>
      <w:r w:rsidRPr="00660A4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60A4C">
        <w:rPr>
          <w:rFonts w:ascii="宋体" w:eastAsia="宋体" w:hAnsi="宋体" w:cs="宋体"/>
          <w:color w:val="000000" w:themeColor="text1"/>
          <w:szCs w:val="24"/>
        </w:rPr>
        <w:t>0.06).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Our findings suggest that despite greater prevalence in PLWH, these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 present fewer clinical signs and symptoms and lower mortality rates.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Additionally, HIV was not an independent predictor of mortality in this study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population.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 Urmenyi, Vinhaes, Villalva-Serra, Araujo-Pereira and Andrade.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10.3389/fpubh.2025.1600104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PMC12206807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</w:t>
      </w:r>
      <w:r w:rsidR="00587EE0">
        <w:rPr>
          <w:rFonts w:ascii="宋体" w:eastAsia="宋体" w:hAnsi="宋体" w:cs="宋体"/>
          <w:color w:val="000000" w:themeColor="text1"/>
          <w:szCs w:val="24"/>
        </w:rPr>
        <w:t xml:space="preserve"> 40589807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107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>. Stud Health Technol Inform. 2025 Jun 26;328:407-411. doi: 10.3233/SHTI250748.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Factors Associated with Treatment Success Among Patients with Pulmonary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Tuberculosis: Exploring from NTIP Record.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Kwangdam S(1), Toekasem S(1), Yingyuat W(2), Phethuayluk P(1), Rakkua P(1),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Khiewkhern S(3), Srichomphoo C(1).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(1)Faculty of Health and Sports Science, Thaksin University Phatthalung Campus,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(2)Pak Phanang Hospital, Nakhon Si Thammarat Province, Thailand.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(3)Faculty of public health, Mahasarakham University, Thailand.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This cross-sectional analytical study examined treatment success rates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associated factors among pulmonary tuberculosis (TB) patients. Data from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National Tuberculosis Information Program (NTIP) were analyzed for 305 patients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treated at Pak Phanang Hospital, Nakhon Si Thammarat, between October 1, 2018,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September 30, 2023. Binary logistic regression identified key factors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influencing treatment success. The overall success rate was 80.98% (247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patients), while 19.02% (58 patients) experienced unsuccessful treatment.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Significant factors associated with success included body mass index (BMI)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(adjusted OR 2.72, 95% CI = 1.12-3.93, p = 0.035), adherence to medical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appointments (adjusted OR 26.85, 95% CI = 16.24-35.56, p = 0.001), history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HIV screening, hospitalization for TB, and CD4 testing. To enhance TB treatment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outcomes, hospitals should improve patient management, ensure continuous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monitoring, and promote adherence and education. Strengthening these measures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may reduce treatment failure and improve public health outcomes.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10.3233/SHTI250748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40588955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>8. Stud Health Technol Inform. 2025 Jun 26;328:21-25. doi: 10.3233/SHTI250665.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Bridging Health Gaps Behind Bars: The Role of Prison Health Volunteers in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Surveillance Under Thailand's Royal 'Pan Suk' Project".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Chaiyarach C(1)(2), Wongkongdech A(3), Chanthamath S(4)(5), Wongkongdech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R(1)(5).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(1)Faculty of Medicine, Mahasarakham University, Thailand.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(2)The Central Correctional Institution for Young Offenders, Thailand.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(3)Faculty of Public Health, Mahasarakham University, Thailand.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(4)Khammouane provincial hospital, LAO PDR.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(5)International and National Collaborative Network and Innovation for Community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Health Development Research Unit (INCNI-CHD).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(TB) remains a significant public health concern in correctional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facilities due to overcrowding, poor ventilation, and inmate mobility. This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cross-sectional study assessed the roles of 298 Prison Health Volunteers (PHVs)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TB surveillance at three Central Correctional Institutions for Young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Offenders in Thailand. Although most PHVs demonstrated low knowledge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moderate attitudes, they performed well in key health education and case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detection tasks. Significant associations were found between higher knowledge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favorable attitudes with better TB control practices (p = 0.027 and p =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0.005). These findings suggest that experiential and contextual factors may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compensate for knowledge gaps. Despite ongoing challenges-including limited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training and paper-based systems-PHVs remain pivotal in TB control.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Strengthening their capacity through digital tools and structured support 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essential. The Royal "Pan Suk" Project represents a promising, community-led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model aligned with His Majesty King Maha Vajiralongkorn's vision of promoting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prison health equity and advancing TB elimination.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10.3233/SHTI250665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40588873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9. Lancet Infect Dis. 2025 Jun 27:S1473-3099(25)00305-6. doi: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10.1016/S1473-3099(25)00305-6. Online 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participation of people deprived of liberty in tuberculosis vaccine trials: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should they be protected from research, or through research?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Andrews JR(1), Charalambous S(2), Churchyard G(2), Cobelens F(3),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Fernández-Escobar C(4), Frick M(5), Hanekom W(6), Hatherill M(7), Hill PC(8),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Pandey S(9), Rangaka MX(10), White RG(11), Lemos EF(12), da Silva AM(13), Croda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J(14), Garcia-Basteiro AL(15).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 and Geographic Medicine, Stanford University,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Stanford, CA, USA.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(2)The Aurum Institute, Johannesburg, South Africa; School of Public Health,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University of Witwatersrand, Johannesburg, South Africa; Department of Medicine,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Vanderbilt University, Nashville, TN, USA.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Global Health, Amsterdam Institute for Global Health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Development, Amsterdam University Medical Center, University of Amsterdam,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Amsterdam, Netherlands.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(4)ISGlobal, Hospital Clínic - Universitat de Barcelona, Barcelona, Spain.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(5)Tuberculosis Project, Treatment Action Group, New York, NY, USA.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(6)Division of Infection and Immunity, University College London, London, UK;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Africa Health Research Institute, KwaZulu-Natal, Durban,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(7)Department of Pathology, Institute of Infectious Disease and Molecular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Medicine, University of Cape Town, Cape Town,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(8)Center for International Health, University of Otago, Dunedin, New Zealand.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(9)BL Pandey Foundation for Social Initiatives, Delhi,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(10)MRC Clinical Trials Unit, University College London, London, UK;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CIDRI-AFRICA, School of Public Health, Institute of Infectious Disease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Molecular Medicine, University of Cape Town, Cape Town, South Africa.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(11)Department of Infectious Disease Epidemiology, London School of Hygiene &amp;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(12)Prison Community Advisory Board, Fiocruz Mato Grosso do Sul, Fundação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Oswaldo Cruz, Campo Grande, Brazil; State University of Mato Grosso do Sul,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Campo Grande,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(13)Prison Community Advisory Board, Fiocruz Mato Grosso do Sul, Fundação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Oswaldo Cruz, Campo Grande, Brazil.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(14)Universidade Federal de Mato Grosso do Sul, Campo Grande, Brazil; Fiocruz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Mato Grosso do Sul, Fundação Oswaldo Cruz, Campo Grande, Brazil; Yale University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School of Public Health, New Haven, CT, USA. Electronic address: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julio.croda@fiocruz.br.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(15)Centro de Investigação em Saúde de Manhiça, Manhiça, Mozambique; Centro 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Investigación Biomédica en Red de Enfermedades Infecciosas, Barcelona, Spain;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Department of Preventive Medicine and Epidemiology, Hospital Clínic Barcelona,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People deprived of liberty are among the populations experiencing the highest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rates of tuberculosis. Prisons typically create ideal conditions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Mycobacterium tuberculosis transmission, including overcrowding and prolonged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exposure in poorly ventilated environments, and often have populations at high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risk of developing disease. The development of a novel, effective tuberculosis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vaccine to prevent adult pulmonary tuberculosis is considered a crucial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objective for improving tuberculosis control and, ultimately, elimination.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Currently, there are over a dozen vaccines in clinical development, although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none of the ongoing or planned trials include people deprived of liberty.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Several factors contribute to this exclusion, including historical ethical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violations in medical research involving this population, as well as concerns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regarding coercion and exploitation. In this Personal View, we contend that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these concerns need to be weighed against people deprived of liberty's right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participate in scientific progress and the importance of respecting their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autonomy to be part of medical research. We address the key risks associated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with conducting tuberculosis vaccine trials involving people deprived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liberty, propose mitigation strategies, and discuss important scientific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considerations related to efficacy trials in this context.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Copyright © 2025 Elsevier Ltd. All rights reserved, including those for text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data mining, AI training, and similar technologies.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10.1016/S1473-3099(25)00305-6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40587989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110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>. J Vis Exp. 2025 Jun 13;(220). doi: 10.3791/68037.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Mycobacterial DNA Extraction using Bead Beating in Custom Buffer Followed by NGS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Workflow.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Limberis JD(#)(1), Nalyvayko A(#)(2), Steyn J(3), Williams J(3), Grobbelaar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M(3), Warren RM(#)(3), Metcalfe JZ(#)(4).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(1)Division of Experimental Medicine, University of California, San Francisco.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(2)Division of Experimental Medicine, University of California, San Francisco;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alina.nalyvayko@ucsf.edu.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(3)DSI-NRF Centre of Excellence for Biomedical Tuberculosis Research, SAMRC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Research, Division of Molecular Biology and Human Genetics, Faculty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of Medicine and Health Sciences, Stellenbosch University.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(4)Division of Pulmonary and Critical Care Medicine, Zuckerberg San Francisco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General Hospital and Trauma Centre, University of California, San Francisco.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is a deadly disease, and the emergence of antibiotic drug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resistance in the causative agent bacterium, Mycobacterium tuberculosis, worsens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treatment outcomes. Precise and rapid drug resistance identification through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sequencing technologies is needed to improve tuberculosis patient outcomes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through tailored therapeutic regimens. The DNA extraction method is critical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downstream molecular assays and is complicated by the tough cell wall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Mycobacterium, the low bacillary load of many clinical samples, and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complexity of the sputum matrix. There are numerous M. tuberculosis DNA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extraction methods reported, but there is currently no gold standard.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Furthermore, few of these methods are shown to work consistently, and many are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not suitable for low-resource and high-burden tuberculosis settings.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Consequently, laboratories frequently introduce their own procedure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modifications, resulting in significant method variability. Here, we present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cost-effective, rapid, and standardized protocol for Mycobacterial DNA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extraction from both clinical sputum and culture that produces DNA suitable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qPCR, and which should be considered for use in clinical diagnostics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laboratories.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10.3791/68037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40587400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111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>. Natl Med J India. 2025 Mar-Apr;38(2):69-77. doi: 10.25259/NMJI_1061_2022.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effect of telephone follow-up and training on treatment adherence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tuberculosis patients and contacts: A randomized controlled study.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Aytaç S(1), Ovayolu Ö(1).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(1)Department of Nursing Gaziantep University, Gaziantep, Turkey.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We evaluated the effect of 6 months of regular training,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tele-monitoring and daily text message to remind medication intake on treatment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adherence in tuberculosis (TB) patients and their contacts. </w:t>
      </w: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Methods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randomized, controlled study with pre- test and post-test design was conducted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with the following groups: TB Intervention, TB control, contacted intervention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contacted control group, a total of 66 patients and 87 contacted people.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data of study were collected with 'Patient and Contact Question Form',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Adherence Determination Questionnaire (TADQ) and 'Morisky 8-Item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Adherence to Drug Questionnaire' (MMAS-8). </w:t>
      </w: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Results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TADQ scores of the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intervention group in the beginning, 1st, 3rd and 6th months were 80.4 (7.9),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117.8 (6.3), 137.7 (7.5), 143.2 (4.5), respectively, and TADQ scores of the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control group in the beginning, 1st, 3rd and 6th months were 88.1 (7.1), 84.5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(9.8), 75.9 (7.9), 65.2 (9.2), respectively. MMAS-8 scores of the contacted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intervention group in the beginning, 1st, 3rd and 6th months were 3.6 (1.3), 5.5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(0.7), 7.2 (0.8) and 7.7 (0.7), and those of the control group were 5.7 (1.4),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4.3 (1.4), 1.8 (1.5) and 0.7 (1.4), respectively. </w:t>
      </w: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Conclusion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 a result of 6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months of regular training, tele-monitoring and daily text message, adherence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patients to TB treatment increased, and the adherence of the contacted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people to the medication increased. Nurses should take an active role in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management of TB, determine the patients who do not use drugs correctly in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early period and apply the required interventions as soon as possible to improve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treatment adherence of TB patients and contacts.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DOI: 10.25259/NMJI_1061_2022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40587286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112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>. Natl Med J India. 2025 Mar-Apr;38(2):92-93. doi: 10.25259/NMJI_1479_2024.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Rifampicin-associated intravascular haemolysis causing acute kidney injury.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Aravindhmozhi P(1), Lamech TM(2), Swamikkannu C(1), Kurien AA(3), Gopalakrishnan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(1)Department of Nephrology Madras Medical College, Chennai, Tamil Nadu,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Nephrology SRM Medical College Hospital and Research Centre,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Chennai, Tamil Nadu,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Renal Pathology Renopath Center for Renal and Urological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Pathology, Chennai, Tamil Nadu,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(4)Transplant Authority of Tamil Nadu, Chennai, Tamil Nadu,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Drug-induced acute kidney injury (AKI) is a rare adverse effect of rifampicin,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is mostly related to acute tubular necrosis and acute interstitial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nephritis. We report a sputum- positive, isoniazid mono-resistant, pulmonary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patient who had a history of anti-tuberculous therapy (ATT) intake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30 years ago. The patient developed AKI requiring dialysis when he restarted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ATT recently. A renal biopsy was consistent with pigment-cast nephropathy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secondary to rifampicin-induced intravascular haemolysis. Rifampicin was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stopped, and the patient underwent a total of four dialysis sessions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subsequently recovered.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10.25259/NMJI_1479_2024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40587272 [Indexed for MEDLINE]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113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Monaldi Arch Chest Dis. 2025 Jun 26. doi: 10.4081/monaldi.2025.3474. Online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Pharmacist-led education intervention to improve pulmonary tuberculosis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treatment adherence through the Health Belief Model in Malaysia: a study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protocol for a randomized controlled trial.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Ahmad R(1), Sheikh Ghadzi SM(1), Hyder Ali IAB(2), Syed Sulaiman SA(1), Khan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AH(1).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Clinical Pharmacy, School of Pharmaceutical Sciences,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Universiti Sains, Penang.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(2)Respiratory Clinic, Hospital Pulau Pinang, Penang.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Pulmonary tuberculosis (TB) remains a significant global health concern,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particularly in low- and middle-income countries, where treatment adherence 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critical to improving patient outcomes and mitigating drug resistance.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Malaysia, challenges in adherence to TB treatment regimens continue to hinder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disease control efforts. This study protocol outlines a pharmacist-led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educational intervention to improve treatment adherence among pulmonary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patients. This randomized controlled trial will enroll 206 pulmonary TB patients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from public healthcare facilities in Penang, Malaysia, divided equally into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intervention and control groups. The intervention group will receive tailored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educational counseling sessions delivered by pharmacists at baseline and during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months 2, 4, and 6, using materials developed by the World Health Organization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the Centers for Disease Control TB treatment guidelines. The control group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will receive standard care. The pharmacist-led educational intervention will be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structured around the Health Belief Model framework to systematically address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psychological determinants of adherence. Adherence will be measured using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Medication Adherence Report Scale-5. Data will be collected at baseline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subsequent intervals to assess changes over time. The primary outcome will be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improve the treatment adherence of the pulmonary TB patients. The secondary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outcomes will measure knowledge of the TB disease and health-related quality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life. This protocol describes a novel, theory-driven approach to addressing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adherence barriers in TB treatment through pharmacist-led education. The study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aims to contribute to the global effort to control TB and improve patient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outcomes by providing evidence of the intervention's impact.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10.4081/monaldi.2025.3474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40586682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114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Monaldi Arch Chest Dis. 2025 Jun 26. doi: 10.4081/monaldi.2025.3538. Online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Latent tuberculosis infection in patients with psoriasis using biologic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therapies.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Staub FL(1), Santos AK(2), Lima de Braga RS(2), Scheffer de Souza M(2), Vigne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Duz JV(2), Souza Ramos G(2), Catucci Boza J(3), Rossato Silva D(4).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(1)Postgraduate Program in Pulmonary Sciences, Federal University of Rio Grande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 Sul, Porto Alegre; Dermatology Department, Porto Alegre Clinical Hospital.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(2)Faculty of Medicine, Federal University of Rio Grande do Sul, Porto Alegre.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(3)Dermatology Department, Porto Alegre Clinical Hospital.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(4)Postgraduate Program in Pulmonary Sciences, Federal University of Rio Grande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do Sul, Porto Alegre; Faculty of Medicine, Federal University of Rio Grande do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Sul, Porto Alegre; Pulmonology Department, Porto Alegre Clinical Hospital.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Some studies have demonstrated a high prevalence of latent tuberculosis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infection (LTBI) in patients with psoriasis and a higher risk of active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(TB) in patients with severe psoriasis. The objective of this study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is to identify the prevalence of LTBI before starting treatment with different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biologicals and to identify the prevalence of LTBI and active TB while using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these medications. We conducted a cross-sectional study with retrospective data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collection in the outpatient department of dermatology at a general, tertiary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care, university-affiliated hospital. The electronic medical records of all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 xml:space="preserve">adult patients (≥18 years old) with psoriasis undergoing treatment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biologics were reviewed, and information about psoriasis, the type of biological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therapy used, and the tuberculin skin test (TST) results were collected.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 included had an indication for the TST test according to the Ministry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Health. In total, 126 patients were included in the study. The median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duration of disease was 20 years. A total of 31 patients (24.6%) had LTBI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diagnosed at screening before the use of biologicals, and an additional 17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(17.9%) patients had a diagnosis of LTBI during biological therapy. There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no cases of active TB during treatment with biologicals. There was no difference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the prevalence of LTBI during treatment with tumor necrosis factor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inhibitors, interleukin (IL)-17 inhibitors, IL-23 inhibitors, and IL-12/23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inhibitors (p=0.228). In conclusion, we found that 24.6% of patients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psoriasis in an endemic TB region had LTBI. Additionally, 16.8% had a diagnosis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LTBI during biological therapy. Our data corroborate the recommendation that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 who live in high TB incidence settings should be tested annually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LTBI.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10.4081/monaldi.2025.3538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40586673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115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>. Cureus. 2025 May 30;17(5):e85085. doi: 10.7759/c</w:t>
      </w:r>
      <w:r>
        <w:rPr>
          <w:rFonts w:ascii="宋体" w:eastAsia="宋体" w:hAnsi="宋体" w:cs="宋体"/>
          <w:b/>
          <w:color w:val="FF0000"/>
          <w:szCs w:val="24"/>
        </w:rPr>
        <w:t xml:space="preserve">ureus.85085. eCollection 2025 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>May.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Smear- and Polymerase Chain Reaction (PCR)-Negative Tuberculosis: A Case Series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Highlighting Diagnostic Limitations and the Role of Escalation.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Daraselia D(1), Toloraia A(1), Tsertsvadze S(2), Todua M(3).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(1)Internal Medicine, Tbilisi State Medical University, Tbilisi, GEO.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(2)Medicine, Tbilisi State Medical University, Tbilisi, GEO.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(3)Innere Medizin, Christliches Krankenhaus Quakenbrück (CKQ), Quakenbrück, DEU.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(TB) remains a major global health concern, and its diagnosis can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be particularly challenging when microbiological tests yield negative results.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 present two diagnostically complex cases, one pulmonary and one pleural,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which tuberculosis was confirmed only after extended clinical evaluation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diagnostic escalation, resulting in delays of approximately eight weeks and two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weeks, respectively. The first patient, a 31-year-old asymptomatic man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recent TB exposure, underwent bronchoalveolar lavage (BAL), with smear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microscopy and polymerase chain reaction (PCR) both negative; cultures remained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negative after eight weeks. He was later readmitted with hemoptysis, and repeat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BAL ultimately yielded a positive culture for Mycobacterium tuberculosis,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despite persistently negative PCR. The second patient, a 22-year-old woman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presenting with pleuritic chest pain and a large unilateral pleural effusion,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had markedly elevated inflammatory markers and exudative fluid on thoracentesis.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Initial smear, PCR, and bronchoscopy were inconclusive. A definitive diagnosis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pleural TB was established only after thoracoscopic biopsy revealed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necrotizing granulomatous inflammation. In both cases, early identification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bacterial co-infections contributed to diagnostic delay. These cases highlight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limitations of conventional diagnostics in both pulmonary and pleural TB,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particularly in smear- and polymerase chain reaction (PCR)-negative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presentations. They underscore the importance of clinical vigilance and timely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escalation to tissue-based diagnostics, including repeat bronchoscopy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thoracoscopy, when initial evaluations are non-diagnostic. A structured,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multimodal approach is essential to minimize diagnostic delays and ensure early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initiation of appropriate therapy.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2025, Daraselia et 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10.7759/cureus.85085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PMC12206392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40585722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116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Patient Prefer Adherence. 2025 Jun 23;19:1807-1823. doi: 10.2147/PPA.S533210.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Effectiveness of Digital Health Interventions to Enhance Continuity of Care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 with Pulmonary Tuberculosis: A Systematic Review of Randomized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Controlled Trials.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Miladi QN(1), Pahria T(2), Pramukti I(3).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(1)Master Study Program, Faculty of Nursing, Universitas Padjadjaran, Sumedang,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West Java, Indonesia.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Medical-Surgical Nursing, Faculty of Nursing, Universitas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Padjadjaran, Sumedang, West Java, Indonesia.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Community Health Nursing, Faculty of Nursing, Universitas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Padjadjaran, Sumedang, West Java, Indonesia.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Pulmonary tuberculosis (TB) remains a global health concern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high morbidity and mortality rates. Despite being curable with proper treatment,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challenges in ensuring continuity of care persist, particularly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resource-limited settings. Digital health interventions (DHI) offer a potential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solution to improve treatment adherence and continuity of care among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patients.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This study aimed to systematically review how DHIs contribute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improved continuity of care, particularly in terms of medication adherence,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clinical outcomes, and patient satisfaction.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A systematic review was conducted using PRISMA guidelines. Relevant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studies were identified from five significant databases, including PubMed,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Scopus, Taylor and Francis, EBSCO-host, and ScienceDirect, up to November 2024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one search engine was Google Scholar. The keywords used were "pulmonary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OR tbc OR tb AND mobile health applications OR mhealth OR mobile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apps OR telehealth AND continuity of care OR patient compliance OR patient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adherence OR adherence behaviour. Inclusion criteria focused on RCTs evaluating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DHIs for adult TB patients. Data were extracted and analyzed thematically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assess intervention effectiveness on medication adherence and clinical outcomes.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 total of 17.380 patients from 21 studies TB patients were included.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Interventions were classified into two categories: reminder-based (eg, SMS,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phone calls, electronic medicine boxes with audio/visual alerts) and remote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monitoring-based (eg, MERM, mobile applications, digital sensors, and VDOT).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Compared to standard care, DHIs significantly improved medication adherence,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treatment success rates, and patient satisfaction. Several studies also reported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reduced time and cost burdens for patients.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DHIs improve continuity of care among TB patients by increasing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medication adherence and clinical outcomes. However, the effectiveness varies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across different intervention types and settings, emphasizing the need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tailored strategies and integration into existing health systems.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 Miladi et al.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10.2147/PPA.S533210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PMC12204103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40585575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117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Oxf Med Case Reports. 2025 Jun 27;2025(6):omaf058. doi: 10.1093/omcr/omaf058.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eCollection 2025 Jun.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Erythema Induratum as a rare manifestation of cutaneous tuberculosis in a young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woman: a case report.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Iskandar H(1), Condeng YH(1), Tabri NA(1), Setiawati D(2), Muchsin D(2).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Faculty of Medicine, Hasanuddin University,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Jalan Perintis Kemerdekaan KM 11, Tamalanrea, Makassar, South Sulawesi, 90245,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(2)Faculty of Medicine and Health Sciences, Alauddin Makassar State Islamic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University, Jalan H. M. Yasin Limpo No. 36, Somba Opu, Gowa Regency, South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Sulawesi, 92113, Indonesia.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Cutaneous tuberculosis (TB) is a rare form of extrapulmonary TB, often leading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to diagnostic challenges due to its varied clinical presentation. Erythema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induratum of Bazin (EIB), a type of lobular panniculitis, is a recognized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manifestation of cutaneous TB. This report describes a 19-year-old woman who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developed EIB, presenting with recurrent fever, night sweats, weight loss,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hyperpigmented nodular lesions on both lower extremities. Laboratory tests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showed an elevated erythrocyte sedimentation rate and a positive tuberculin skin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test, while histopathology confirmed lobular panniculitis. Pulmonary TB was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excluded based on negative molecular testing and normal chest imaging.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 was diagnosed with cutaneous TB and treated with WHO-recommended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first-line anti-TB therapy, leading to significant clinical improvement. This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case underscores the importance of early recognition and timely treatment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cutaneous TB to prevent complications and ensure optimal outcomes.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10.1093/omcr/omaf058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PMC12202318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40585462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118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>. ADMET DMPK. 2025 Jun 17;13(3):2766. doi: 10.5599/admet.2766. 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CRISPR-Cas9-based electrochemical biosensor for the detection of katG gene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mutations in isoniazid-resistant 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Wulandari DA(1), Zein MIHL(2), Zakiyyah SN(1), Ishmayana S(1), Ozsoz M(1)(3),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Hartati YW(1)(4), Irkham(1)(4).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Chemistry, Faculty of Mathematics and Natural Science,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Universitas Padjadjaran, Sumedang 45363, Indonesia.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Chemistry "Giacomo Ciamician", Alma Mater Studiorum -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 of Bologna, Bologna 40126, Italy.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Biomedical Engineering, Near East University, Mersin 99138,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Turkey.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(4)Study Center of Sensor and Green Chemistry, Faculty of Mathematics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Natural Science, Universitas Padjadjaran, Bandung 40132, Indonesia.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BACKGROUND AND PURPOSE: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Multidrug-resistant tuberculosis (MDR-TB) remains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significant challenge in tuberculosis (TB) treatment, driven by simultaneous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mutations in the rpoB and katG genes that confer resistance to rifampicin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isoniazid. While many molecular diagnostic tools focus on rpoB, the katG gene 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often overlooked despite its critical role in confirming MDR-TB. This study aims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to develop a CRISPR/Cas9-based electrochemical biosensor for the rapid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selective detection of katG mutation.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EXPERIMENTAL APPROACH: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 guide RNA (gRNA) specific to the mutation site on katG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gene was designed using the Benchling CRISPR tool, considering on-target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off-target scores, specificity, and cleavage sites within the Mycobacterium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genome. The selected gRNA achieved the highest on-target score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61.2 and an off-target score of 49.0 at cut position 2928, with a PAM sequence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AGG. Its cleavage efficiency was validated experimentally using 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electrochemical biosensing platform incorporating a gold-modified screen-printed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carbon electrode (SPCE/Au). Redox response enhancement by [Fe(CN6)]3-/4-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confirmed the improved performance of the electrode.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KEY RESULTS: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biosensor system detects the target DNA through hybridization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with DNA probe-Fc, forming double-stranded DNA (dsDNA) that is recognized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cleaved by the Cas9/gRNA complex. This cleavage significantly reduces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ferrocene oxidation signal, indicating the presence of a katG mutation.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Non-mutated target DNA produces a nondetectable ferrocene signal, suggesting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that the Cas9 enzyme may remain bound to the electrode without cleavage.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CRISPR/Cas9 electrochemical biosensor demonstrated a low detection limit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7.5530 aM and a detection range of 101 to 106 aM.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CRISPR/Cas9-based electrochemical biosensor exhibits high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sensitivity and specificity for the detection katG mutation, offering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promising platform for rapid MDR-TB diagnostics.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 by the authors.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10.5599/admet.2766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PMC12205929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40585408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119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Asia Ocean J Nucl Med Biol. 2025;13(2):195-197. doi: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10.22038/aojnmb.2025.80912.1580.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significance of cardiac inflammatory protocol of FDG PET-CT in the diagnosis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and response assessment of tuberculous pericarditis: A case report.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Dhayalan K(1), Goyal H(1), Halanaik D(1), Ahamed S(2).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Nuclear Medicine, Jawaharlal Institute of Postgraduate Medical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Education and Research, Puducherry,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Cardiology, Jawaharlal Institute of Postgraduate Medical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Education and Research, Puducherry,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Tuberculous pericarditis (TBP) is a rare but potentially life-threatening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manifestation of tuberculosis, often presenting with nonspecific symptoms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varied clinical features. The disease is characterised by inflammation of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pericardium due to mycobacterium tuberculosis, leading to complications such as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effusion, tamponade, and, in chronic cases, constrictive pericarditis. TBP 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associated with high mortality, particularly if not promptly diagnosed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treated. 18F-fluorodeoxyglucose positron emission tomography-computed tomography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(18FDG PET-CT) has proven invaluable in diagnosing and managing TBP. This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imaging modality allows for precise inflammatory activity localisation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differentiates TBP from other causes of pericardial disease. Additionally,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cardiac inflammation protocol of 18FDG PET-CT enhances imaging accuracy by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suppressing the normal physiological FDG uptake in the myocardium. In this case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report, we highlight the pivotal role of the cardiac inflammation protocol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18FDG PET-CT in both the initial diagnosis and subsequent response assessment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TBP, underscoring its importance in clinical practice.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 mums.ac.ir All rights reserved.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10.22038/aojnmb.2025.80912.1580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PMC12205121</w:t>
      </w:r>
    </w:p>
    <w:p w:rsidR="00660A4C" w:rsidRPr="00660A4C" w:rsidRDefault="00587EE0" w:rsidP="00660A4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40585293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120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medRxiv [Preprint]. 2025 Jun 20:2025.06.20.25329945. doi: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10.1101/2025.06.20.25329945.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Integrated treatment-decision algorithms for childhood TB: modelling diagnostic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performance and costs.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Gaeddert M(1), Jaganath D(2)(3), Civan A(1), Nguyen H(4), Bonnet M(5), Wobudeya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E(5)(6), Marcy O(5), De Allegri M(4), Denkinger CM(1)(7).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 and Tropical Medicine, University Hospital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Heidelberg, Heidelberg, Germany.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(2)Division of Pediatric Infectious Diseases, University of California San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Francisco, San Francisco, USA.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(3)Center for Tuberculosis, Institute of Global Health Sciences, University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California San Francisco, San Francisco, USA.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(4)Heidelberg Institute of Global Health, University Hospital Heidelberg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Medical Faculty, Heidelberg University, Germany.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(5)University of Bordeaux, National Institute for Health and Medical Research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(Inserm) UMR 1219, Research Institute for Sustainable Development (IRD) EMR 271,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Bordeaux, France.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(6)Uganda Tuberculosis Implementation Research Consortium, Walimu, Kampala,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(7)German Center of Infection Research (DZIF), Partner site Heidelberg, Germany.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To improve childhood tuberculosis (TB) diagnosis, treatment-decision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algorithms (TDAs) with and without chest X-ray (CXR) were developed for children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under age 10. We aimed to model diagnostic performance and costs of implementing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TDAs in primary healthcare (PHC) and district hospital (DH) settings in Uganda.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We developed decision-tree models following the TDA pathway from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evaluation to treatment-decision. We compared six scenarios with combinations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diagnostic testing (stool and respiratory Xpert, urine lipoarabinomannan, and/or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CXR) at PHCs and DHs. Outcomes were diagnostic accuracy and cost per correct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treatment-decision for a cohort of 10,000 children with presumptive TB using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Monte Carlo simulation from a health system perspective. Costs were reported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2024 International dollars.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all scenarios, TDA's had high sensitivity (80.8-91.9%) but low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specificity (51.2-60.9%). Total diagnostic and treatment costs for the cohort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were I$1,768,958-2,458,790; largely driven by overtreatment of false-positive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cases. Diagnostic costs were mostly offset by reducing overtreatment. The cost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per treatment-decision was lowest using mobile CXR at PHC (I$287.40) and highest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with DH referral (I$445.84).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TDAs have high sensitivity and can be implemented at PHCs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lower costs than DHs. Improving specificity and reducing treatment costs would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enable affordable, large-scale implementation.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10.1101/2025.06.20.25329945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PMC12204283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40585124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121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medRxiv [Preprint]. 2025 Jun 16:2025.06.13.25329610. doi: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10.1101/2025.06.13.25329610.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Deciphering rifampicin resistance among tuberculosis patients who have trace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results on Xpert MTB/RIF ultra assay.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Nantumbwe NJ(1), Semugenze D(1)(2), Okello F(1), Sserubiri J(1)(2), Komakech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K(1), Asiimwe B(3), Ssengooba W(3)(2).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Immunology and Molecular Biology, Makerere University College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of Health Sciences, Kampala, Uganda.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(2)Makerere University, Biomedical Research Center (MAKBRC), Kampala, Uganda.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Medical Microbiology, Makerere University College of Health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Sciences, Kampala, Uganda.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Mycobacterium. tuberculosis (MTB) detected trace, rifampicin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(RIF) resistance indeterminate category of the Xpert MTB/RIF Ultra assay results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is usually, non-actionable and requires retesting the samples. We aimed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decipher RIF resistance among tuberculosis patients who have trace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indeterminate results.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Four hundred and three (403) MTB detected trace, RIF resistance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indeterminate results, which were obtained in Mycobacteriology (BSL-3)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Molecular Diagnostic laboratories, College of Health Sciences, Makerere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University from August 2018 to June 2023, having culture results were identified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from the laboratory database. Isolates of those that turned out culture positive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were retrieved and sub-cultured in liquid media to perform phenotypic first line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Drug Susceptibility tests, first line Line-Probe assays (LPA) and repeat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GeneXpert ultra.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 total of 31/403 (7.7%) culture positive isolates were identified from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database of which 77.42% (24/31) were positive for Mycobacterium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complex (MTBc). Nineteen (19) out of the identified 24 MTBc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successfully retrieved, cultured and resistance testing performed. Phenotypic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Drug susceptibility testing and repeated GeneXpert did not identify any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resistance. Only one mutation inhA MUT1 related to isoniazid (INH) resistance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was identified using MTBDRplus assay.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In this study, we did not identify any missed rifampicin resistance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among MTBc culture positive samples that were initially Xpert ultra-trace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rifampicin resistance indeterminate. More studies with bigger sample sizes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especially in high MDR-TB settings are required.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10.1101/2025.06.13.25329610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PMC12204262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40585070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587EE0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122</w:t>
      </w:r>
      <w:r w:rsidR="00660A4C" w:rsidRPr="00587EE0">
        <w:rPr>
          <w:rFonts w:ascii="宋体" w:eastAsia="宋体" w:hAnsi="宋体" w:cs="宋体"/>
          <w:b/>
          <w:color w:val="FF0000"/>
          <w:szCs w:val="24"/>
        </w:rPr>
        <w:t xml:space="preserve">. Front Epidemiol. 2025 Jun 13;5:1405845. doi: 10.3389/fepid.2025.1405845. </w:t>
      </w:r>
    </w:p>
    <w:p w:rsidR="00660A4C" w:rsidRPr="00587EE0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587EE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One out of every three adult TB patients suffered from undernutrition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conflict affected Southern Ethiopia: a multicenter facility-based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cross-sectional study.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Abraham A(1)(2), Yakob T(1), Dawit D(3), Ashiko A(3), Tekese D(4), Israell E(5).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(1)Division of Nutrition, Maternal and Child Health Unit, Wolaita Zone Health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Department, Wolaita Sodo, Ethiopia.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(2)SCOPE Registrar, World Food Programme (WFP), Addis Ababa, Ethiopia.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(3)School of Public Health, College of Health Science and Medicine, Hawassa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University, Hawassa, Ethiopia.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(4)Public Sector Strengthening, Marie-stopes International (MSI), Hawassa,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(5)School of Public Health, College of Health Science and Medicine, Wolaita Sodo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University, Wolaita Sodo, Ethiopia.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Although tuberculosis mortality has dramatically decreased over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last decade, tuberculosis remains the world's biggest cause of death. Conflict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affected nations hold vast majority of malnourished people globally, where many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people die each year of tuberculosis. With regard to the global burden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tuberculosis, Ethiopia ranks third in the African continent and seventh overall.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But in the research arena, the severity of the issue is not as well understood.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Therefore, the current study aimed to assess undernutrition and the determinant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factors among adult TB-patients receiving treatment in public health facilities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 conflict affected zones of Southern.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: A multicenter facility-based cross-sectional study was conducted from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 xml:space="preserve">27/08/2023-28/ 09/2023 among 414 randomly selected adult (age ≥18 years)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TB-patients receiving treatment at public health facilities in conflict affected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zones of Southern Ethiopia. An interviewer-administered questionnaire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anthropometric measurements were used to collect data from study participants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after written informed consent provision. By using SPSS Version 25, bivariate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multivariable logistic regression models were employed to determine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factors related to nutritional status.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Overall, 33.3% of study participants had undernutrition, with a [95% CI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(28.8%-38.1%)]. Factors such as cigarette smoking [AOR</w:t>
      </w:r>
      <w:r w:rsidRPr="00660A4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60A4C">
        <w:rPr>
          <w:rFonts w:ascii="宋体" w:eastAsia="宋体" w:hAnsi="宋体" w:cs="宋体"/>
          <w:color w:val="000000" w:themeColor="text1"/>
          <w:szCs w:val="24"/>
        </w:rPr>
        <w:t>=</w:t>
      </w:r>
      <w:r w:rsidRPr="00660A4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2.02, 95% CI; 1.22,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3.34] chat chewing [AOR</w:t>
      </w:r>
      <w:r w:rsidRPr="00660A4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60A4C">
        <w:rPr>
          <w:rFonts w:ascii="宋体" w:eastAsia="宋体" w:hAnsi="宋体" w:cs="宋体"/>
          <w:color w:val="000000" w:themeColor="text1"/>
          <w:szCs w:val="24"/>
        </w:rPr>
        <w:t>=</w:t>
      </w:r>
      <w:r w:rsidRPr="00660A4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2.50, 95% CI; 1.59, 3.93] regular cheka drinking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[AOR</w:t>
      </w:r>
      <w:r w:rsidRPr="00660A4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60A4C">
        <w:rPr>
          <w:rFonts w:ascii="宋体" w:eastAsia="宋体" w:hAnsi="宋体" w:cs="宋体"/>
          <w:color w:val="000000" w:themeColor="text1"/>
          <w:szCs w:val="24"/>
        </w:rPr>
        <w:t>=</w:t>
      </w:r>
      <w:r w:rsidRPr="00660A4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60A4C">
        <w:rPr>
          <w:rFonts w:ascii="宋体" w:eastAsia="宋体" w:hAnsi="宋体" w:cs="宋体"/>
          <w:color w:val="000000" w:themeColor="text1"/>
          <w:szCs w:val="24"/>
        </w:rPr>
        <w:t>1.82; 95% CI, 1.22-2.71] and household food insecurity [AOR</w:t>
      </w:r>
      <w:r w:rsidRPr="00660A4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60A4C">
        <w:rPr>
          <w:rFonts w:ascii="宋体" w:eastAsia="宋体" w:hAnsi="宋体" w:cs="宋体"/>
          <w:color w:val="000000" w:themeColor="text1"/>
          <w:szCs w:val="24"/>
        </w:rPr>
        <w:t>=</w:t>
      </w:r>
      <w:r w:rsidRPr="00660A4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1.78, 95%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CI; 1.19, 2.66] had significant association with undernutrition.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587EE0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results of this study show that undernutrition affects one in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three adult TB patients. Lifestyle factors such as smoking and chewing,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dietary factors like cheka eating and household food security had significant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association with undernutrition. In order to improve the quality of life for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patients, it is imperative that all stakeholders should prioritize addressing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lifestyle and nutritional aspects that are essential to the effectiveness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TB control and prevention initiatives.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 Abraham, Yakob, Dawit, Ashiko, Tekese and Israell.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10.3389/fepid.2025.1405845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PMC12202411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40585062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AB3C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123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. Taiwan J Ophthalmol. 2025 Jun 10;15(2):203-211. doi: 10.4103/tjo.TJO-D-24-</w:t>
      </w:r>
      <w:r w:rsidR="00AB3CE7" w:rsidRPr="00AB3CE7">
        <w:rPr>
          <w:rFonts w:ascii="宋体" w:eastAsia="宋体" w:hAnsi="宋体" w:cs="宋体"/>
          <w:b/>
          <w:color w:val="FF0000"/>
          <w:szCs w:val="24"/>
        </w:rPr>
        <w:t xml:space="preserve">00115. 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eCollection 2025 Apr-Jun.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Current concepts in the diagnosis of ocular tuberculosis: A narrative review.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Konana VK(1), Babu K(2).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Vitreoretinal Services, Vittala International Institute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Ophthalmology, Bengaluru, Karnataka,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Uveitis and Ocular Inflammation, Prabha Eye Clinic and Research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Centre, Vittala International Institute of Ophthalmology, Bengaluru, Karnataka,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Ocular tuberculosis (OTB) is one of the extrapulmonary manifestations caused by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(Mtb). If untreated, it can result in poor visual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prognosis. Prompt diagnosis of OTB is met with challenges. The gold standard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diagnosis of OTB is the direct demonstration of the Mtb in ocular tissues 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ocular fluids either by Ziehl-Neelsen Stain, culture or molecular diagnostic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techniques such as polymerase chain reaction. This is onerous owing to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paucibacillary nature of the disease, small quantity of samples, and low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sensitivity and specificity of molecular diagnostic tests. Thus, one needs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rely on indirect evidences to make a diagnosis. Hence, most often, the diagnosis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OTB is presumed based on the geography the patient hails from and indirect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laboratory evidences suggestive of TB. In this narrative review, we review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clinical, laboratory, and radiology markers which aid in the diagnosis of OTB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and outline the current concepts in the diagnosis of OTB.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Copyright: © 2025 Taiwan J Ophthalmol.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10.4103/tjo.TJO-D-24-00115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PMCID: PMC12204663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40584192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AB3C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124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 xml:space="preserve">. ACS Chem Biol. 2025 Jun 29. doi: 10.1021/acschembio.5c00078. Online ahead of </w:t>
      </w:r>
    </w:p>
    <w:p w:rsidR="00660A4C" w:rsidRPr="00AB3C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AB3CE7">
        <w:rPr>
          <w:rFonts w:ascii="宋体" w:eastAsia="宋体" w:hAnsi="宋体" w:cs="宋体"/>
          <w:b/>
          <w:color w:val="FF0000"/>
          <w:szCs w:val="24"/>
        </w:rPr>
        <w:lastRenderedPageBreak/>
        <w:t>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Enzymatic Pathway for Kupyaphore Degradation in Mycobacterium tuberculosis: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Mechanism of Metal Homeostasis and Turnover.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Bhosale RS(1), Chakraborty A(2), Wong TY(3), Masal DP(4)(5)(6), Choudhury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R(4)(5)(6), Srivastava S(1), Reddy DS(6), Aldrich CC(3), Kamat SS(2), Mohanty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D(1), Gokhale RS(1)(2).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(1)Immunometabolism Laboratory, National Institute of Immunology, New Delhi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110067,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Biology, Indian Institute of Science Education and Research,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Pashan, Pune 411008,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Medicinal Chemistry, University of Minnesota, Minneapolis,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Minnesota 55455, United States.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(4)CSIR-National Chemical Laboratory, Pune 411008,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(5)Academy of Scientific and Innovative Research (AcSIR), Ghaziabad 201002,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(6)CSIR-Indian Institute of Chemical Technology, Hyderabad 500007,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Metallophores are essential for metal homeostasis, regulating availability,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mediating host-pathogen interactions. Kupyaphores are specialized metallophores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produced by Mycobacterium tuberculosis (Mtb) that primarily chelate zinc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support bacterial survival. Elevated kupyaphore levels early in infection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highlight their importance, while their rapid decline, despite increasing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bacterial loads, indicates tightly regulated mechanisms of production,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consumption, and degradation. However, the processes driving kupyaphore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catabolism and their role in preventing zinc toxicity in Mtb remain unclear.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Here, we show that covalent modification of the isonitrile moiety in kupyaphores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releases zinc, triggering degradation through a sequential three-step enzymatic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pathway encoded by Mtb. Isonitrile hydratase converts isonitrile groups into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formamides, which are subsequently processed into amines by N-substituted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formamide deformylase and ultimately oxidized to β-ketoesters by amine oxidases.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biological significance of this pathway is underscored by the upregulation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these genes under metal-depleted and biofilm-forming conditions. Mutant Mtb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strains lacking these genes exhibit impaired growth in metal-limiting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environments and reduced levels of biofilm formation. Catalytic intermediates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detected in Mtb cultures and infected mouse lung tissues confirm the pathway's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vivo activity. Further, genome mining reveals that similar enzymes are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conserved across organisms producing isonitrile-containing metabolites,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emphasizing the broader importance of this pathway. Understanding these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processes could pave the way for novel therapeutic strategies targeting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kupyaphore catabolism.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10.1021/acschembio.5c00078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40583177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AB3C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125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. Travel Med Infect Dis. 2025 Jun 27;66:102872. doi</w:t>
      </w:r>
      <w:r w:rsidR="00AB3CE7">
        <w:rPr>
          <w:rFonts w:ascii="宋体" w:eastAsia="宋体" w:hAnsi="宋体" w:cs="宋体"/>
          <w:b/>
          <w:color w:val="FF0000"/>
          <w:szCs w:val="24"/>
        </w:rPr>
        <w:t xml:space="preserve">: 10.1016/j.tmaid.2025.102872. 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Burden, clinical outcomes, and characteristics of tuberculosis in migrant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populations in the middle East and North African region: A systematic review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meta-analyses.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Maatoug T(1), Seedat F(2), Elafef E(3), Ouahchi A(1), Mtiraoui A(4), Evangelidou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S(5), Mansour W(6), Requena-Méndez A(7), Zenner D(8).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(1)University of Sousse, Faculty of Medicine of Sousse, Research Laboratory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Quality of Care and Management of Maternal Health Services, LR12ES03, Sousse,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Tunisia; Barcelona Institute for Global Health (ISGlobal), University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Barcelona, Barcelona, Spain; Faculty of Medicine, University of Barcelona,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(2)City St George's University of London, London, United Kingdom.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(3)Barcelona Institute for Global Health (ISGlobal), University of Barcelona,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Barcelona, Spain; Faculty of Medicine, University of Barcelona, Barcelona,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Spain; Blue Nile National Institute for Communicable Diseases, University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Gezira, Sudan.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(4)University of Sousse, Faculty of Medicine of Sousse, Research Laboratory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Quality of Care and Management of Maternal Health Services, LR12ES03, Sousse,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Tunisia.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(5)Barcelona Institute for Global Health (ISGlobal), University of Barcelona,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(6)University of Sousse, Faculty of Medicine of Sousse, Research Laboratory "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Metabolic Biophysics and Applied Pharmacology" LR12ES02, Tunisia.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(7)Barcelona Institute for Global Health (ISGlobal), University of Barcelona,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Barcelona, Spain; Department of Medicine Solna, Karolinska Institutet,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Stockholm, Sweden; CIBERINFEC, ISCIII - CIBER de Enfermedades Infecciosas,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Instituto de Salud Carlos III, Centro de Investigación Biomédica en Red 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Enfermedades Infecciosas, Madrid, Spain. Electronic address: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requena.mendez@ki.se.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(8)Queen Mary University London, London, United Kingdom.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AB3CE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Migrants in the Middle East and North Africa (MENA) region face 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increased tuberculosis (TB) risk due to socioeconomic and structural barriers.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This systematic review synthesises evidence on TB burden, clinical outcomes,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epidemiological characteristics among migrants in MENA.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AB3CE7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We searched six electronic databases and grey literature sources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studies published between 2000 and September 2024 in any language. Eligible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studies reported primary data on TB prevalence, incidence, treatment outcomes,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 clinical or epidemiological features in migrants. Pooled estimates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calculated using DerSimonian &amp; Laird's random-effects model where applicable 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narratively synthesised.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AB3CE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Of the 779 records identified, we included 57 studies, comprising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95,190 TB cases and 3,532,359 migrants across 12 MENA countries. TB incidence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was consistently higher in migrants than non-migrants (26.7-69.8/100,000 vs.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11.5-16.8/100,000). Migrants had lower TB-related mortality (pooled OR 0.8, 95 %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CI 0.7-0.9; I2 = 2.9 %), however, treatment success rates were consistently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below the WHO-recommended 90 % threshold. Migrant TB patients were younger (mean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age difference: 12.8 years; 95 % CI 8.8-16.0; I2 = 86.5 %) and predominantly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male (sex ratio: 1:5). Drug-resistant TB was more common among migrants, though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this was not always statistically significant (multi-drug-resistant TB: pooled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OR 1.2; 95 % CI 0.9-1.6; I2 = 40.2 %), while extrapulmonary TB was more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prevalent among non-migrants (33.4-83.4 % vs. 16.6-72.9 %).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AB3CE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Migrants in MENA region experience disproportionate TB burden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poorer treatment outcomes, underscoring the need for targeted interventions.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Enhanced data, especially from North Africa, is essential to support regional TB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elimination aligned with World Health Organization and Sustainable Development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Goals.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10.1016/j.tmaid.2025.102872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40582476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AB3C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126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. Clin Infect Dis. 2025 Jun 24:ciaf261. doi: 10.1093/cid/ci</w:t>
      </w:r>
      <w:r w:rsidR="00AB3CE7" w:rsidRPr="00AB3CE7">
        <w:rPr>
          <w:rFonts w:ascii="宋体" w:eastAsia="宋体" w:hAnsi="宋体" w:cs="宋体"/>
          <w:b/>
          <w:color w:val="FF0000"/>
          <w:szCs w:val="24"/>
        </w:rPr>
        <w:t xml:space="preserve">af261. Online ahead of 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Prognostic Value of C-Reactive Protein in Adults With Tuberculous Meningitis: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Prospective Cohort Study.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Tugume L(1), Cresswell FV(1)(2)(3), Engen NW(4), Tukundane A(1), Kimuda S(1),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Mugabi T(1), Namombwe S(1), Kagimu E(1), Kabahubya M(1), Ellis J(1)(5), Bahr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NC(6), Meya DB(1)(6)(7), Boulware DR(6).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(1)College of Health Sciences, Infectious Diseases Institute, Makerere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University, Kampala  Uganda.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HIV Interventions, MRC/UVRI-LSHTM Uganda Research Unit,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Entebbe, Uganda.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(3)Center for Global Health and Infection, Brighton and Sussex Medical School,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Brighton, United Kingdom.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(4)Division of Biostatistics and Health Data Science, University of Minnesota,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Minneapolis, Minnesota, USA.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(5)Clinical Research Department, London School of Hygiene and Tropical Medicine,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London, United Kingdom.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(6)Division of Infectious Diseases &amp; International Medicine, Department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Medicine, University of Minnesota, Minneapolis, Minnesota, USA.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(7)Department of Medicine, Makerere University College of Health Sciences,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 enrolled 135 adults with tuberculous meningitis (TBM), including 83% living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with HIV. Participants with baseline C-reactive protein (CRP) </w:t>
      </w:r>
      <w:r w:rsidRPr="00660A4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660A4C">
        <w:rPr>
          <w:rFonts w:ascii="宋体" w:eastAsia="宋体" w:hAnsi="宋体" w:cs="宋体"/>
          <w:color w:val="000000" w:themeColor="text1"/>
          <w:szCs w:val="24"/>
        </w:rPr>
        <w:t>40</w:t>
      </w:r>
      <w:r w:rsidRPr="00660A4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mg/L had 3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 xml:space="preserve">times higher odds of an 8-week modified Rankin scale ≥4 (adjusted odds ratio,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2.78; 95% CI: 1.28-6.04; P = .010). CRP is a viable prognostic biomarker in TBM.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10.1093/cid/ciaf261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40581751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AB3C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127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. Folia Microbiol (Praha). 2025 Jun 28. doi: 10.1</w:t>
      </w:r>
      <w:r>
        <w:rPr>
          <w:rFonts w:ascii="宋体" w:eastAsia="宋体" w:hAnsi="宋体" w:cs="宋体"/>
          <w:b/>
          <w:color w:val="FF0000"/>
          <w:szCs w:val="24"/>
        </w:rPr>
        <w:t xml:space="preserve">007/s12223-025-01291-3. Online 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Evaluation of andrographolide from Andrographis paniculata against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drug-resistant and H(37)Rv strains of Mycobacterium 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Vilvest J(1), Milton MCJ(2), Yagoo A(2)(3), Balakrishna K(4).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(1)PG Amd Research Department of Advanced Zoology and Biotechnology, Loyola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College (Autonomous), Chennai, India, 600034. jelin@loyolacollege.edu.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(2)PG Amd Research Department of Advanced Zoology and Biotechnology, Loyola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College (Autonomous), Chennai, India, 600034.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Zoology, St. Xavier's College (Autonomous), Palayamkottai,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Tirunelveli, Tamil Nadu, India, 627002.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(4)Entomology Research Institute, Loyola Campus, Chennai, India, 600034.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concern, particularly due to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emergence of multidrug-resistant (MDR) Mycobacterium tuberculosis strains. While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previous studies have suggested andrographolide as a potential antimycobacterial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agent based on in silico predictions, limited empirical evidence exists on its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direct efficacy against MDR-TB. This study systematically evaluates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antimycobacterial activity of andrographolide through the microbroth dilution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method against M. tuberculosis H37Rv and three distinct MDR strains. The minimum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inhibitory concentrations (MICs) were determined using Middlebrook 7H9 medium,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with rifampicin and isoniazid as positive controls. Andrographolide completely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inhibited M. tuberculosis H37Rv at an MIC of 125 µg/mL, while MICs for MDR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strains varied (500 µg/mL, 125 µg/mL, and 250 µg/mL for MDR-Isolates 1, 2,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3, respectively). Unlike previous studies that primarily relied on computational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docking models, our findings provide direct experimental validation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andrographolide's strain-specific efficacy, demonstrating its potential as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promising lead compound for anti-tubercular drug development. These results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underscore the need for further preclinical investigations to explore its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therapeutic applications in combating drug-resistant TB.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2025. Institute of Microbiology, Academy of Sciences of the Czech Republic,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v.v.i.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10.1007/s12223-025-01291-3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40581680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AB3C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128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. Genome Biol Evol. 2025 Jun 23:evaf120. doi: 10.109</w:t>
      </w:r>
      <w:r w:rsidR="00AB3CE7" w:rsidRPr="00AB3CE7">
        <w:rPr>
          <w:rFonts w:ascii="宋体" w:eastAsia="宋体" w:hAnsi="宋体" w:cs="宋体"/>
          <w:b/>
          <w:color w:val="FF0000"/>
          <w:szCs w:val="24"/>
        </w:rPr>
        <w:t xml:space="preserve">3/gbe/evaf120. Online ahead of 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Fitness effect of the isoniazid resistance mutation S315T of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catalase-peroxidase enzyme KatG of Mycobacterium 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Bastolla U(1), Rotkevich M(2), Arenas M(3), Arrayás M(4), Dogonadze M(5),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Lavrova A(6), Molina-Sejas J(1), Tadesse M(7), Xulvi-Brunet R(8), Cox JAG(9),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Nerukh D(9), Gonzalez-Benitez N(10)(11), Stich M(12).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(1)Centro de Biología Molecular Severo Ochoa (CSIC-Universidad Autónoma 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Madrid), Madrid, Spain.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(2)Centre for Genome Regulation, Barcelona, Spain.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(3)Universidade de Vigo, 36310 Vigo, Spain; Department of Biochemistry, Genetics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and Immunology and CINBIO.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(4)Universidad Rey Juan Carlos, 28933 Móstoles, Spain; Área 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Electromagnetismo.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(5)Saint-Petersburg State Research Institute of Phthisiopulmonology,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Saint-Petersburg, Russia.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(6)Saint-Petersburg State University, Saint-Petersburg, Russia.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(7)University of Warwick, Warwick, UK.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(8)Escuela Politécnica Nacional, Quito, Ecuador; Departamento de Física.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(9)Aston University, Birmingham, UK.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(10)Universidad Rey Juan Carlos, 28933 Móstoles, Spain; Departamento de Biología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y Geología. Física y Química Inorgánica.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(11)Universidad Rey Juan Carlos, 28933 Móstoles, Spain; Instituto 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Investigación en Cambio Global (IICG-URJC).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(12)Universidad Rey Juan Carlos, 28933 Móstoles, Spain; Departamento de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Matemática Aplicada, Ciencia y Tecnología de los Materiales y Tecnología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Electrónica.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mutation S315T of the catalase-peroxidase protein KatG of Mycobacterium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is the most common mutation that confers resistance to the prodrug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isoniazid. Here we reconstruct its evolutionary history in 145 whole genome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sequences of M. tuberculosis from Russian hospitals, inferring 11 independent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appearances of this mutation and 5 reversion events, with an estimated reversion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rate 1500 times higher than the rate of preserved non-synonymous or intragenic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mutations. This suggests that, contrary to the commonly held view, the mutation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KatG(S315T) results in a fitness cost, possibly because of reduced tolerance to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oxidative stress. Consistent with this interpretation, the mutant enzyme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presents reduced catalase and peroxidase activities (Wengenack et al. 1997).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Applying the torsional network model, we found that the mutant protein shows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more restricted thermal dynamics, although its functional site moves quite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similarly to the wild type. Of the four internal clones where KatG(S315T) arose,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two present high reproductive rates and secondary mutations at the 5'-UTR region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of the gene encoding superoxide dismutase A (sodA), while the other two present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significantly lower reproductive rate and lack mutations at genes related with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tolerance to oxidative stress. Our results suggest that the resistance mutation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KatG(S315T) incurs a fitness cost, which may be alleviated through compensatory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mutations at the gene sodA or other genes that respond to oxidative stress such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as the previously known gene ahpC. This suggests that isoniazid treatment could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be complemented with drugs that produce oxidative stress in order to hinder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propagation of resistant strains devoid of compensatory mutations.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Society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for Molecular Biology and Evolution.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10.1093/gbe/evaf120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40580943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AB3C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129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 xml:space="preserve">. J Ayurveda Integr Med. 2025 Jun 27;16(4):101158. doi: </w:t>
      </w:r>
    </w:p>
    <w:p w:rsidR="00660A4C" w:rsidRPr="00AB3C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AB3CE7">
        <w:rPr>
          <w:rFonts w:ascii="宋体" w:eastAsia="宋体" w:hAnsi="宋体" w:cs="宋体"/>
          <w:b/>
          <w:color w:val="FF0000"/>
          <w:szCs w:val="24"/>
        </w:rPr>
        <w:t>10.1016/j.jaim.2025.101158. Online 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Exploring Withania somnifera derived natural products as promising inhibitors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Mycobacterium tuberculosis Pantothenate Kinase-PanK: An integrated in silico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lastRenderedPageBreak/>
        <w:t>in vitro approach.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Singh A(1), Mina U(2), Yadav P(3).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(1)School of Environmental Sciences, Jawaharlal Nehru University, New Delhi,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110067,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(2)School of Environmental Sciences, Jawaharlal Nehru University, New Delhi,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110067, India. Electronic address: ushamina@jnu.ac.in.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(3)School of Applied and Life Sciences, Uttaranchal University, Deharadun,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248007, Uttrakhand,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AB3CE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Tuberculosis remains a pervasive and enduring global health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challenge, with the alarming rise of drug-resistant variants. Mycobacterium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tuberculosis (M. tuberculosis), bacterium responsible for tuberculosis, deploys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a complex arsenal of virulence factors to evade the host's immune defences.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quest for novel targets or compounds to combat drug-resistant M. tuberculosis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strains is of paramount importance. PanK is an essential enzyme for Co-enzyme 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(CoA) biosynthesis pathway, targeting inhibition of its activity by Withania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somnifera phytochemicals may provide an effective therapeutic strategy against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resistant strains.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AB3CE7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The study aims to identify the potential of natural compounds derived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from Withania somnifera as inhibitors of the PanK enzyme (novel target) in M.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AB3CE7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In silico computational approach, includes steps-structure based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virtual screening of 83 Withania compounds followed by molecular docking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dynamic simulations spanning 100 ns, to assess the binding affinity and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stability between screen key compounds and PanK. In vitro anti-tuberculosis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bioassays was also performed to validate the In silico experiments finding.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AB3CE7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Through in silico experiments, four key compounds of Withania somnifera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were -Morkotin A, Rutin, Withaoxylactone, and 2,3-Dihydrowithanolide E were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identified. They exhibited strong potential to inhibit PanK enzyme activity. The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In silico as well as In vitro findings suggest that Withania somnifera-derived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natural compounds could serve as effective candidates for targeting vital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enzymes in M. 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AB3CE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 Withania somnifera can be explored as valuable resource for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developing novel drugs for PanK as a target to combat tuberculosis.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B.V. All rights reserved.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10.1016/j.jaim.2025.101158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40580906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AB3CE7" w:rsidRDefault="009E256A" w:rsidP="00660A4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130</w:t>
      </w:r>
      <w:r w:rsidR="00660A4C" w:rsidRPr="00AB3CE7">
        <w:rPr>
          <w:rFonts w:ascii="宋体" w:eastAsia="宋体" w:hAnsi="宋体" w:cs="宋体"/>
          <w:b/>
          <w:color w:val="FF0000"/>
          <w:szCs w:val="24"/>
        </w:rPr>
        <w:t xml:space="preserve">. Indian J Gastroenterol. 2025 Jun 28. doi: 10.1007/s12664-025-01812-5. Online </w:t>
      </w:r>
    </w:p>
    <w:p w:rsidR="00660A4C" w:rsidRPr="00AB3CE7" w:rsidRDefault="00660A4C" w:rsidP="00660A4C">
      <w:pPr>
        <w:rPr>
          <w:rFonts w:ascii="宋体" w:eastAsia="宋体" w:hAnsi="宋体" w:cs="宋体"/>
          <w:b/>
          <w:color w:val="FF0000"/>
          <w:szCs w:val="24"/>
        </w:rPr>
      </w:pPr>
      <w:r w:rsidRPr="00AB3CE7">
        <w:rPr>
          <w:rFonts w:ascii="宋体" w:eastAsia="宋体" w:hAnsi="宋体" w:cs="宋体"/>
          <w:b/>
          <w:color w:val="FF0000"/>
          <w:szCs w:val="24"/>
        </w:rPr>
        <w:lastRenderedPageBreak/>
        <w:t>ahead of print.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Role of fecal calprotectin to differentiate between treatment-naive intestinal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tuberculosis and Crohn's disease: A pilot study.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Malakar S(1), Ghoshal UC(2), Hoda US(1), Kothalkar S(1), Kapoor V(3), Borah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GJ(1), Mishra P(1).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(1)Department of Gastroenterology, Sanjay Gandhi Postgraduate Institute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Medical Sciences, Lucknow 226 014,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(2)Department of Gastroenterology, Sanjay Gandhi Postgraduate Institute of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Medical Sciences, Lucknow 226 014, India. udayghoshal@gmail.com.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 xml:space="preserve">(3)Department of Biostatistics, Sanjay Gandhi Postgraduate Institute of Medical 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Sciences, Lucknow 226 014, India.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DOI: 10.1007/s12664-025-01812-5</w:t>
      </w:r>
    </w:p>
    <w:p w:rsidR="00660A4C" w:rsidRP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  <w:r w:rsidRPr="00660A4C">
        <w:rPr>
          <w:rFonts w:ascii="宋体" w:eastAsia="宋体" w:hAnsi="宋体" w:cs="宋体"/>
          <w:color w:val="000000" w:themeColor="text1"/>
          <w:szCs w:val="24"/>
        </w:rPr>
        <w:t>PMID: 40580415</w:t>
      </w:r>
    </w:p>
    <w:p w:rsidR="00660A4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4F4C4D" w:rsidRPr="004F4C4D" w:rsidRDefault="004F4C4D" w:rsidP="004F4C4D">
      <w:pPr>
        <w:rPr>
          <w:rFonts w:ascii="宋体" w:eastAsia="宋体" w:hAnsi="宋体" w:cs="宋体"/>
          <w:b/>
          <w:color w:val="FF0000"/>
          <w:szCs w:val="21"/>
        </w:rPr>
      </w:pPr>
      <w:r w:rsidRPr="004F4C4D">
        <w:rPr>
          <w:rFonts w:ascii="宋体" w:eastAsia="宋体" w:hAnsi="宋体" w:cs="宋体"/>
          <w:b/>
          <w:color w:val="FF0000"/>
          <w:szCs w:val="21"/>
        </w:rPr>
        <w:t>13</w:t>
      </w:r>
      <w:r w:rsidR="009E256A">
        <w:rPr>
          <w:rFonts w:ascii="宋体" w:eastAsia="宋体" w:hAnsi="宋体" w:cs="宋体"/>
          <w:b/>
          <w:color w:val="FF0000"/>
          <w:szCs w:val="21"/>
        </w:rPr>
        <w:t>1</w:t>
      </w:r>
      <w:r w:rsidRPr="004F4C4D">
        <w:rPr>
          <w:rFonts w:ascii="宋体" w:eastAsia="宋体" w:hAnsi="宋体" w:cs="宋体"/>
          <w:b/>
          <w:color w:val="FF0000"/>
          <w:szCs w:val="21"/>
        </w:rPr>
        <w:t xml:space="preserve">. Eur J Med Chem. 2025 Jun 24;297:117889. doi: 10.1016/j.ejmech.2025.117889. </w:t>
      </w:r>
    </w:p>
    <w:p w:rsidR="004F4C4D" w:rsidRPr="004F4C4D" w:rsidRDefault="004F4C4D" w:rsidP="004F4C4D">
      <w:pPr>
        <w:rPr>
          <w:rFonts w:ascii="宋体" w:eastAsia="宋体" w:hAnsi="宋体" w:cs="宋体"/>
          <w:b/>
          <w:color w:val="FF0000"/>
          <w:szCs w:val="21"/>
        </w:rPr>
      </w:pPr>
      <w:r w:rsidRPr="004F4C4D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Discovery of novel fluorescent amino-pyrazolines that detect and kill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Mycobacterium tuberculosis.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Cui Y(1), Lanne A(2), Avula S(3), Hama Salih MA(4), Peng X(5), Milne G(6), Jones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G(6), Ritchie J(6), Zhao Y(7), Frampton J(8), Tortorella M(3), Fossey JS(1),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Alderwick LJ(9), Neagoie C(10).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(1)School of Chemistry, University of Birmingham, Edgbaston, Birmingham, West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Midlands, B15 2TT, UK.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(2)Institute of Microbiology and Infection, School of Biosciences, University of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Birmingham, Edgbaston, Birmingham, West Midlands, B15 2TT, UK.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(3)Centre for Regenerative, Medicine and Health, Hong Kong Institute of Science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Innovation, Chinese Academy of Sciences, 5/F, 15W Science Park West Avenue, the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Hong Kong Special Administrative Region of China.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(4)School of Chemistry, University of Birmingham, Edgbaston, Birmingham, West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Midlands, B15 2TT, UK; College of Health and Medical Technology, Sulaimani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Polytechnic University, Sulaimani, Iraq.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(5)Guangzhou National Laboratory, Guangzhou International Bio Island, Guangzhou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510005, China.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(6)Sygnature Discovery, The Discovery Building, BioCity, Pennyfoot Street,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Nottingham, NG1 1GR, UK.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(7)School of Chemistry, University of Birmingham, Edgbaston, Birmingham, West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Midlands, B15 2TT, UK; X-Ray Crystallography Facility, School of Chemistry,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 of Birmingham, Edgbaston, Birmingham, West Midlands, B15 2TT, UK.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(8)College of Medical and Dental Sciences, University of Birmingham, Edgbaston,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Birmingham, West Midlands, B15 2TT, UK.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(9)Institute of Microbiology and Infection, School of Biosciences, University of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Birmingham, Edgbaston, Birmingham, West Midlands, B15 2TT, UK; Discovery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Sciences, Charles River Laboratories, Chesterford Research Park, CB10 1XL, UK.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Electronic address: luke.alderwick@crl.com.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(10)Centre for Regenerative, Medicine and Health, Hong Kong Institute of Science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Innovation, Chinese Academy of Sciences, 5/F, 15W Science Park West Avenue, the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Hong Kong Special Administrative Region of China. Electronic address: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cleopatra.neagoie@crmh-cas.org.hk.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emergence of multidrug-resistant Mycobacterium tuberculosis (MDR-TB)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necessitates novel therapeutics with distinct mechanisms. Here, we report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amino-pyrazoline derivatives as a new class of dual-functional antimycobacterial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agents, integrating potent bactericidal activity with fluorescence-based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bacterial imaging. Initial screening identified AP-07 as a promising hit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compound (MIC99: 40 μM against Mycobacterium smegmatis, 49 μM against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Mycobacterium bovis BCG). Structure-based optimization led to the discovery of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AP-02 and AP-05 as lead compounds, with enhanced activity (MIC99: 13-16 μM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against M. smegmatis; 20-25 μM against M. bovis BCG). Additionally, spontaneous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resistance assays detected no resistant colonies, suggesting a low risk of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resistance development. Mechanistic studies confirmed Ag85C as the primary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molecular target, disrupting late-stage mycolic acid biosynthesis and impairing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cell wall integrity. Notably, pyrazoline derivatives exhibit intrinsic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fluorescence, selectively labeling intracellular mycobacteria while remaining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non-toxic to host macrophages, enabling real-time bacterial imaging. This work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establishes fluorescent amino-pyrazolines as a promising foundation for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next-generation antitubercular agents, bridging diagnostics and therapy in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tuberculosis drug discovery.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Copyright © 2025 The Authors. Published by Elsevier Masson SAS.. All rights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reserved.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10.1016/j.ejmech.2025.117889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40592183</w:t>
      </w:r>
    </w:p>
    <w:p w:rsidR="00AB3CE7" w:rsidRDefault="00AB3CE7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4F4C4D" w:rsidRPr="004F4C4D" w:rsidRDefault="009E256A" w:rsidP="004F4C4D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13</w:t>
      </w:r>
      <w:r w:rsidR="004F4C4D" w:rsidRPr="004F4C4D">
        <w:rPr>
          <w:rFonts w:ascii="宋体" w:eastAsia="宋体" w:hAnsi="宋体" w:cs="宋体"/>
          <w:b/>
          <w:color w:val="FF0000"/>
          <w:szCs w:val="21"/>
        </w:rPr>
        <w:t>2. Taiwan J Ophthalmol. 2024 Jul 22;15(2):252-258. doi: 10.4103/tjo.TJO-D-24-00012. eCollection 2025 Apr-Jun.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Epidemiology of uveitis after tuberculosis in Taiwan - A nationwide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population-based cohort study.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Lin CJ(1)(2)(3), Hsu AY(1), Hsia NY(1)(2)(3), Tien PT(1)(4), Yang YC(5)(6), Lai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CT(1)(2)(3), Bair H(1)(7), Chen HS(8), Tsai YY(1)(2)(3).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Ophthalmology, China Medical University Hospital, China Medical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Taichung, Taiwan.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(2)School of Medicine, College of Medicine, China Medical University, Taichung,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Taiwan.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(3)Department of Optometry, Asia University, Taichung, Taiwan.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(4)Graduate Institute of Clinical Medical Science, College of Medicine, China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Medical University, Taichung, Taiwan.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(5)Management Office for Health Data, China Medical University Hospital,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Taichung, Taiwan.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(6)College of Medicine, China Medical University, Taichung, Taiwan.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(7)Byers Eye Institute, Stanford University School of Medicine, Stanford, CA,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USA.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(8)An-Shin Dialysis Center, NephroCare Ltd., Fresenius Medical Care, Taichung,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Taiwan.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>PURPOSE:</w:t>
      </w:r>
      <w:r w:rsidRPr="002E3956">
        <w:rPr>
          <w:rFonts w:ascii="宋体" w:eastAsia="宋体" w:hAnsi="宋体" w:cs="宋体"/>
          <w:szCs w:val="21"/>
        </w:rPr>
        <w:t xml:space="preserve"> Current reports on the risk of uveitis of all causes after tuberculosis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(TB) diagnosis are lacking. Therefore, we sought to investigate the association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between the diagnosis of TB and the subsequent risk of uveitis in Taiwan.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 xml:space="preserve">MATERIALS AND METHODS: </w:t>
      </w:r>
      <w:r w:rsidRPr="002E3956">
        <w:rPr>
          <w:rFonts w:ascii="宋体" w:eastAsia="宋体" w:hAnsi="宋体" w:cs="宋体"/>
          <w:szCs w:val="21"/>
        </w:rPr>
        <w:t xml:space="preserve">Data from the Taiwan National Health Insurance system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were retrieved and patients with newly diagnosed TB between 2000 and 2012 were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recruited. The endpoint of interest was the occurrence of uveitis. Patients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without TB were randomly matched 4:1 to TB cases based on age, gender, index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date, outpatient clinic visit, and index year. Univariate and multivariable Cox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proportional regression analyses were performed to analyze the risk of uveitis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among TB patients.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A total of 6139 patients with TB and corresponding 24,555 matched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control participants were recruited. The mean age was 52.9 ± 22.1 years old and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32.1% were male. The medium follow-up period was 5.81 ± 4.37 years and 7.16 ±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3.95 years in the TB and matched control cohorts. Our results showed that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patients with TB had no significantly increased incidence of uveitis. After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stratification by gender, age, and comorbidities, the relationship between TB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uveitis was found to be not significant. The cumulative incidence of uveitis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was also found to be not significantly higher among the TB group (log-rank P =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0.84).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>CONCLUSION:</w:t>
      </w:r>
      <w:r w:rsidRPr="002E3956">
        <w:rPr>
          <w:rFonts w:ascii="宋体" w:eastAsia="宋体" w:hAnsi="宋体" w:cs="宋体"/>
          <w:szCs w:val="21"/>
        </w:rPr>
        <w:t xml:space="preserve"> Our nationwide population-based cohort retrospective study showed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that the incidence of uveitis was not significantly higher among patients with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TB. Future prospective and multicenter studies are warranted to confirm our 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findings.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Copyright: © 2024 Taiwan J Ophthalmol.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10.4103/tjo.TJO-D-24-00012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PMC12204660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40584193</w:t>
      </w:r>
    </w:p>
    <w:p w:rsidR="004F4C4D" w:rsidRPr="002E3956" w:rsidRDefault="004F4C4D" w:rsidP="004F4C4D">
      <w:pPr>
        <w:rPr>
          <w:rFonts w:ascii="宋体" w:eastAsia="宋体" w:hAnsi="宋体" w:cs="宋体"/>
          <w:szCs w:val="21"/>
        </w:rPr>
      </w:pPr>
    </w:p>
    <w:p w:rsidR="002A0E2E" w:rsidRPr="00ED6E2D" w:rsidRDefault="009E256A" w:rsidP="002A0E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133</w:t>
      </w:r>
      <w:r w:rsidR="002A0E2E" w:rsidRPr="00ED6E2D">
        <w:rPr>
          <w:rFonts w:ascii="宋体" w:eastAsia="宋体" w:hAnsi="宋体" w:cs="宋体"/>
          <w:b/>
          <w:color w:val="FF0000"/>
          <w:szCs w:val="24"/>
        </w:rPr>
        <w:t>. World J Clin Cases. 2025 Jul 6;13(19):104083. doi: 10.12998/wjcc.v13.i19.104083.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Delayed diagnosis of pulmonary tuberculosis with pleuritis due to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ampicillin/sulbactam: A case report.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Hara M(1), Yashiro T(2), Yashiro Y(2).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Fujimi-Kogen Hospital, Fujimi-Kogen Medical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Center, Nagano 399-0214, Japan. hara.mnck@fujimihp.com.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Fujimi-Kogen Hospital, Fujimi-Kogen Medical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Center, Nagano 399-0214, Japan.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health concern despite decreasing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incidence. Delayed TB diagnosis can exacerbate patient outcomes and lead to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broader public health issues such as mass infections. Differentiation between TB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bacterial pneumonia is often complicated by variable clinical and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radiological manifestations of TB, leading to diagnostic delays.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>CASE SUMMARY: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An 89-year-old, Japanese male patient with a history of diabetes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mellitus, hypertension, and hypothyroidism presented with right-sided chest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pain. Based on the elevated inflammatory response, right pleural effusion, and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infiltrating shadow in the lung field, the diagnosis of right pleurisy was made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and the antibiotic, ampicillin/sulbactam, was administered. The patient's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condition, inflammatory reaction, and right pleural effusion temporarily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improved. However, persistent low-grade fever and malaise prompted further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evaluation, revealing repeated right pleural effusion and inflammatory response.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 right thoracentesis was performed; the patient was diagnosed with tuberculous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pleurisy as a result of exudative effusion with lymphocyte predominance,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elevated adenosine deaminase levels, and positive Mycobacterium TB polymerase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chain reaction test. Anti-TB treatment, including isoniazid, rifampicin, and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ethambutol was initiated, leading to significant clinical improvement. The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patient successfully completed a 12-month course of TB therapy without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recurrence or deterioration.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There are cases of TB wherein temporary improvement apparently could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be shown through treatment with antimicrobial agents other than anti-TB drugs,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necessitating careful evaluation in atypical cases of bacterial pneumonia.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lastRenderedPageBreak/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Author(s) 2025. Published by Baishideng Publishing Group Inc. All rights 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reserved.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10.12998/wjcc.v13.i19.104083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PMCID: PMC11926473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40620448</w:t>
      </w:r>
    </w:p>
    <w:p w:rsidR="002A0E2E" w:rsidRPr="00EA7B5C" w:rsidRDefault="002A0E2E" w:rsidP="002A0E2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D6E2D" w:rsidRDefault="009E256A" w:rsidP="00C6545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</w:t>
      </w:r>
      <w:r w:rsidR="00C6545E" w:rsidRPr="00ED6E2D">
        <w:rPr>
          <w:rFonts w:ascii="宋体" w:eastAsia="宋体" w:hAnsi="宋体" w:cs="宋体"/>
          <w:b/>
          <w:color w:val="FF0000"/>
          <w:szCs w:val="24"/>
        </w:rPr>
        <w:t>4. Ital J Pediatr. 2025 Jul 6;51(1):210. doi: 10.1186/s13052-025-02019-2.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Meta-analysis of TB &amp; HIV co-infection mortality rate in sub-Saharan African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children, youth, and adolescents.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Bizuneh FK(1), Bizuneh TK(2)(3), Biwota GT(4), Abate BB(5), Ayenew TG(6)(3).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College of Medicine and Health Science, Debre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Markos University, P.B.Box = 269, Debre Markos City, Ethiopia.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fassikaw123@dmu.edu.et.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Geography and Environmental studies, Faculty of Social Science,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Bahir Dar University, P.o.Box = 72, Bahir Dar, Ethiopia.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(3)Department Psychiatry, Jigjiga referral Hospital, Jigjiga, Somali Region,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(4)Department of Public Health, College of Medicine and Health Science, Debre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Markos University, P.B.Box = 269, Debre Markos City, Ethiopia.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(5)College of Health Science, School of Public Health, Woldia University,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P.o.Box 400, Woldia, Ethiopia.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(6)College of Medicine and Health Science, Jigjiga University, P.O. Box 57,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Jigjiga, Somali region, Ethiopia.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Despite the effectiveness of antiretroviral treatment (ART) in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reducing morbidity and mortality, children and adolescents with co-infections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face an elevated risk of death due to their young age and compromised immune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systems. While risk factors for tuberculosis (TB) and adverse TB outcomes in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HIV-infected adults are well-documented for mortality estimation, understanding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mortality risks among HIV-infected children and adolescents, especially in the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era of test and treatment and universal ART for all HIV-infected persons,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remains limited. This study aimed to estimate the mortality rate among TB and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HIV-co-infected children in Sub-Saharan African countries using SRM.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We systematically searched relevant studies from seven international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electronic databases. Articles were searched using Preferred Reporting Items for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Systematic Reviews and Meta-Analyses (PRISMA) guidelines. Article searching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included six electronic databases including PubMed/MEDLINE (N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1287), Scopus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(N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447), Web of Science (N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174), Science Direct (N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749, Cochran (N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57),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and Google Scholar and research repository bases searching (N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42). The quality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 primary studies was evaluated using Joanna Briggs Institute (JBI) checklist.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The pooled mortality rate was estimated using a weighted inverse variance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random-effect meta-analysis. Heterogeneity among studies was assessed using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Cochran's Q test and estimated using I2 statistic. This document is registered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 Prospero (CRD420251012913).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this SRM, 16 individual studies were included. During the co-infected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mortality screening of 5,098 participants, 657 deaths were reported after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co-treatment started. The pooled mortality burden was estimated at 12.96% (95%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CI: 8.94 to 16.98, I2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92.6%, P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0.001). The majority of TB co-infected cases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were newly diagnosed after ART started. The final weighted inverse variance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random-effect regression indicated WHO stages III and IV (pooled HR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4.34),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poor/ fair ART adherence (pooled HR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3.11), missed Isoniazid preventive therapy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(IPT) (pooled HR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3.07), hemoglobin levels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10 mg/dL (pooled HR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2.84),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bedridden functional status (pooled HR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3.19), below threshold CD4 count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(pooled HR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1.80), and missed cotrimoxazole preventive therapy (CPT) (pooled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AOR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=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>1.58) were predictors of premature death during co-infection.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D6E2D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 this review, the overall pooled burden of mortality in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HIV-infected children in SSA countries was high compared with the End TB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Strategy target estimation. Significant predictors of mortality included WHO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clinical stages III and IV, poor or fair ART adherence, missed Isoniazid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preventive therapy (IPT), and hemoglobin levels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EA7B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10 mg/dL. Therefore,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counseling on antiretroviral therapy adherence should be strengthened; early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screening and treating of anemia, screening and scaling up of IPT, critical ART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drug, and nutritional counseling should be done during regular visits for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caregivers to prevent premature deaths among children, youths, and adolescents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during co-infection in SSA.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10.1186/s13052-025-02019-2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40619406 [Indexed for MEDLINE]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D6E2D" w:rsidRDefault="009E256A" w:rsidP="00C6545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135</w:t>
      </w:r>
      <w:r w:rsidR="00C6545E" w:rsidRPr="00ED6E2D">
        <w:rPr>
          <w:rFonts w:ascii="宋体" w:eastAsia="宋体" w:hAnsi="宋体" w:cs="宋体"/>
          <w:b/>
          <w:color w:val="FF0000"/>
          <w:szCs w:val="24"/>
        </w:rPr>
        <w:t xml:space="preserve">. Microb Pathog. 2025 Jul 4:107843. doi: 10.1016/j.micpath.2025.107843. Online </w:t>
      </w:r>
    </w:p>
    <w:p w:rsidR="00C6545E" w:rsidRPr="00ED6E2D" w:rsidRDefault="00C6545E" w:rsidP="00C6545E">
      <w:pPr>
        <w:rPr>
          <w:rFonts w:ascii="宋体" w:eastAsia="宋体" w:hAnsi="宋体" w:cs="宋体"/>
          <w:b/>
          <w:color w:val="FF0000"/>
          <w:szCs w:val="24"/>
        </w:rPr>
      </w:pPr>
      <w:r w:rsidRPr="00ED6E2D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Advancements in Tuberculosis Diagnostics: An Update.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Ghosh M(1), Lahiri M(1), Dalal A(1), Parida KK(1), Kalia NP(2).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(1)Department of Biological Sciences (Pharmacology and Toxicology), National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Institute of Pharmaceutical Education and Research, Hyderabad, Telangana, 500037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(2)Department of Biological Sciences (Pharmacology and Toxicology), National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Institute of Pharmaceutical Education and Research, Hyderabad, Telangana, 500037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India. Electronic address: kalianpk@gmail.com.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Tuberculosis (TB) is one of the major life-threatening diseases caused by a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single pathogen which has become a social menace owing to its high resistance.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TB has even surpassed AIDS prior the COVID 19 pandemic. Every year the number of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affected persons is increasing exponentially. In 2023 8.2 million new cases of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TB were reported. There are various factors responsible for such infectivity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rate of Mycobacterium tuberculosis (Mtb) including emergence of rapid resistant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strains, treatment failure and lack of proper diagnosis. In order to combat the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infection, early and effective treatment of the infection is very crucial. This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calls for the existence of effective and point of care (POC) diagnostic tool for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successful management of the disease. The conventional diagnostics includes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staining, microscopy, tuberculin skin test and chest X ray. However, they have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various limitations which increases the public threat. These tools lack the ease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of transportation, less sensitive, time consuming and lack accuracy. To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eliminate such limitations and bridge the gap associated with the proper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diagnosis of disease, various biochemical, molecular, immunological diagnostic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tools have come up in rescue of the infection. These modern tools are potent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enough in characterizing Mtb, detect mutations correlated with the existing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medications and ensure effective management. In this article we are focusing on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modern diagnostic tools such as T-SPOT, artificial intelligence, electronic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nose, RT PCR, TB LAM, CRISPR, biosensor-based detection techniques including the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 xml:space="preserve">conventional techniques for detection of Mtb in clinical setup in resource 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limited healthcare facilities for comprehensive diagnosis of tuberculosis.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DOI: 10.1016/j.micpath.2025.107843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  <w:r w:rsidRPr="00EA7B5C">
        <w:rPr>
          <w:rFonts w:ascii="宋体" w:eastAsia="宋体" w:hAnsi="宋体" w:cs="宋体"/>
          <w:color w:val="000000" w:themeColor="text1"/>
          <w:szCs w:val="24"/>
        </w:rPr>
        <w:t>PMID: 40619035</w:t>
      </w:r>
    </w:p>
    <w:p w:rsidR="00C6545E" w:rsidRPr="00EA7B5C" w:rsidRDefault="00C6545E" w:rsidP="00C6545E">
      <w:pPr>
        <w:rPr>
          <w:rFonts w:ascii="宋体" w:eastAsia="宋体" w:hAnsi="宋体" w:cs="宋体"/>
          <w:color w:val="000000" w:themeColor="text1"/>
          <w:szCs w:val="24"/>
        </w:rPr>
      </w:pPr>
    </w:p>
    <w:p w:rsidR="004F4C4D" w:rsidRPr="002A0E2E" w:rsidRDefault="004F4C4D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p w:rsidR="00660A4C" w:rsidRPr="00EA7B5C" w:rsidRDefault="00660A4C" w:rsidP="00660A4C">
      <w:pPr>
        <w:rPr>
          <w:rFonts w:ascii="宋体" w:eastAsia="宋体" w:hAnsi="宋体" w:cs="宋体"/>
          <w:color w:val="000000" w:themeColor="text1"/>
          <w:szCs w:val="24"/>
        </w:rPr>
      </w:pPr>
    </w:p>
    <w:sectPr w:rsidR="00660A4C" w:rsidRPr="00EA7B5C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49" w:rsidRDefault="00921249" w:rsidP="00913F6F">
      <w:r>
        <w:separator/>
      </w:r>
    </w:p>
  </w:endnote>
  <w:endnote w:type="continuationSeparator" w:id="0">
    <w:p w:rsidR="00921249" w:rsidRDefault="00921249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49" w:rsidRDefault="00921249" w:rsidP="00913F6F">
      <w:r>
        <w:separator/>
      </w:r>
    </w:p>
  </w:footnote>
  <w:footnote w:type="continuationSeparator" w:id="0">
    <w:p w:rsidR="00921249" w:rsidRDefault="00921249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90B53"/>
    <w:rsid w:val="0009258E"/>
    <w:rsid w:val="00092CA5"/>
    <w:rsid w:val="00092F7F"/>
    <w:rsid w:val="00093EB4"/>
    <w:rsid w:val="00094774"/>
    <w:rsid w:val="00094D1C"/>
    <w:rsid w:val="000961CE"/>
    <w:rsid w:val="000A087D"/>
    <w:rsid w:val="000A0F96"/>
    <w:rsid w:val="000A124E"/>
    <w:rsid w:val="000A1434"/>
    <w:rsid w:val="000A1D4B"/>
    <w:rsid w:val="000A2127"/>
    <w:rsid w:val="000A2F2E"/>
    <w:rsid w:val="000A3943"/>
    <w:rsid w:val="000A3E0E"/>
    <w:rsid w:val="000A51E6"/>
    <w:rsid w:val="000A5D84"/>
    <w:rsid w:val="000A6101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5C58"/>
    <w:rsid w:val="000B6906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B76"/>
    <w:rsid w:val="001E6B7F"/>
    <w:rsid w:val="001E6C66"/>
    <w:rsid w:val="001F0B99"/>
    <w:rsid w:val="001F0D20"/>
    <w:rsid w:val="001F13B5"/>
    <w:rsid w:val="001F1AB3"/>
    <w:rsid w:val="001F1DDA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A11"/>
    <w:rsid w:val="00204451"/>
    <w:rsid w:val="0020501F"/>
    <w:rsid w:val="00206168"/>
    <w:rsid w:val="00207270"/>
    <w:rsid w:val="00210B36"/>
    <w:rsid w:val="00212E84"/>
    <w:rsid w:val="002140A1"/>
    <w:rsid w:val="00214B74"/>
    <w:rsid w:val="00214C10"/>
    <w:rsid w:val="0021558B"/>
    <w:rsid w:val="00215646"/>
    <w:rsid w:val="00217D7F"/>
    <w:rsid w:val="00217EAC"/>
    <w:rsid w:val="00220876"/>
    <w:rsid w:val="00222583"/>
    <w:rsid w:val="00222BD1"/>
    <w:rsid w:val="002246DD"/>
    <w:rsid w:val="002253AA"/>
    <w:rsid w:val="00225946"/>
    <w:rsid w:val="002259F8"/>
    <w:rsid w:val="002307EA"/>
    <w:rsid w:val="002327BB"/>
    <w:rsid w:val="002341B8"/>
    <w:rsid w:val="00234622"/>
    <w:rsid w:val="002354A4"/>
    <w:rsid w:val="00235C0D"/>
    <w:rsid w:val="002374E2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5956"/>
    <w:rsid w:val="00275EC1"/>
    <w:rsid w:val="00277AFE"/>
    <w:rsid w:val="00277F10"/>
    <w:rsid w:val="0028042B"/>
    <w:rsid w:val="00280E39"/>
    <w:rsid w:val="00281CB1"/>
    <w:rsid w:val="0028209D"/>
    <w:rsid w:val="00282B0E"/>
    <w:rsid w:val="0028424E"/>
    <w:rsid w:val="002848FA"/>
    <w:rsid w:val="00285319"/>
    <w:rsid w:val="00285E4E"/>
    <w:rsid w:val="0028600C"/>
    <w:rsid w:val="00286550"/>
    <w:rsid w:val="00286887"/>
    <w:rsid w:val="002868D6"/>
    <w:rsid w:val="002874B2"/>
    <w:rsid w:val="002874EE"/>
    <w:rsid w:val="00290E55"/>
    <w:rsid w:val="00292BA6"/>
    <w:rsid w:val="00294663"/>
    <w:rsid w:val="00295075"/>
    <w:rsid w:val="00295697"/>
    <w:rsid w:val="00295B81"/>
    <w:rsid w:val="0029689E"/>
    <w:rsid w:val="00297DED"/>
    <w:rsid w:val="002A042C"/>
    <w:rsid w:val="002A0E2E"/>
    <w:rsid w:val="002A1A26"/>
    <w:rsid w:val="002A1AAB"/>
    <w:rsid w:val="002A1B06"/>
    <w:rsid w:val="002A41A5"/>
    <w:rsid w:val="002A5D78"/>
    <w:rsid w:val="002A65AC"/>
    <w:rsid w:val="002A75CF"/>
    <w:rsid w:val="002A7D07"/>
    <w:rsid w:val="002B16D1"/>
    <w:rsid w:val="002B18EF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3F3D"/>
    <w:rsid w:val="002F476D"/>
    <w:rsid w:val="002F53B0"/>
    <w:rsid w:val="002F6002"/>
    <w:rsid w:val="00300C4C"/>
    <w:rsid w:val="00300DAB"/>
    <w:rsid w:val="003029A2"/>
    <w:rsid w:val="003030D7"/>
    <w:rsid w:val="003064FE"/>
    <w:rsid w:val="003074D8"/>
    <w:rsid w:val="003077B3"/>
    <w:rsid w:val="00307B4A"/>
    <w:rsid w:val="00311A67"/>
    <w:rsid w:val="00311FA9"/>
    <w:rsid w:val="00312E3F"/>
    <w:rsid w:val="0031350B"/>
    <w:rsid w:val="00313587"/>
    <w:rsid w:val="003142FD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F86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CCA"/>
    <w:rsid w:val="00383DE7"/>
    <w:rsid w:val="00384F9F"/>
    <w:rsid w:val="0038579F"/>
    <w:rsid w:val="0038597F"/>
    <w:rsid w:val="00391EB5"/>
    <w:rsid w:val="00392265"/>
    <w:rsid w:val="00392AC6"/>
    <w:rsid w:val="00393A15"/>
    <w:rsid w:val="00394EE4"/>
    <w:rsid w:val="00396814"/>
    <w:rsid w:val="00396D0C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ED3"/>
    <w:rsid w:val="003E7F6D"/>
    <w:rsid w:val="003F0272"/>
    <w:rsid w:val="003F031F"/>
    <w:rsid w:val="003F08C1"/>
    <w:rsid w:val="003F2BA8"/>
    <w:rsid w:val="003F4118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5059"/>
    <w:rsid w:val="004B5B91"/>
    <w:rsid w:val="004B5DF7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4F0"/>
    <w:rsid w:val="004E6833"/>
    <w:rsid w:val="004E723F"/>
    <w:rsid w:val="004E7A20"/>
    <w:rsid w:val="004F0CA6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7F18"/>
    <w:rsid w:val="00500140"/>
    <w:rsid w:val="00500F3F"/>
    <w:rsid w:val="00502292"/>
    <w:rsid w:val="00502897"/>
    <w:rsid w:val="00503AE4"/>
    <w:rsid w:val="00503D99"/>
    <w:rsid w:val="005045BA"/>
    <w:rsid w:val="00505213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20E52"/>
    <w:rsid w:val="005227BB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A1713"/>
    <w:rsid w:val="005A1A36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6C9"/>
    <w:rsid w:val="006259BB"/>
    <w:rsid w:val="006268F3"/>
    <w:rsid w:val="006276AC"/>
    <w:rsid w:val="006304DE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D15"/>
    <w:rsid w:val="00645DBD"/>
    <w:rsid w:val="0065022E"/>
    <w:rsid w:val="00650944"/>
    <w:rsid w:val="0065216A"/>
    <w:rsid w:val="00652A4F"/>
    <w:rsid w:val="00653E9B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5412"/>
    <w:rsid w:val="006765E9"/>
    <w:rsid w:val="00676C52"/>
    <w:rsid w:val="00676CDC"/>
    <w:rsid w:val="00677367"/>
    <w:rsid w:val="00680351"/>
    <w:rsid w:val="00681783"/>
    <w:rsid w:val="00682B47"/>
    <w:rsid w:val="00682B87"/>
    <w:rsid w:val="00682DA4"/>
    <w:rsid w:val="006853BD"/>
    <w:rsid w:val="00685B2F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F17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D0305"/>
    <w:rsid w:val="006D188E"/>
    <w:rsid w:val="006D2ACD"/>
    <w:rsid w:val="006D2B74"/>
    <w:rsid w:val="006D5356"/>
    <w:rsid w:val="006D58CE"/>
    <w:rsid w:val="006D68F1"/>
    <w:rsid w:val="006D7065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BE3"/>
    <w:rsid w:val="0070113E"/>
    <w:rsid w:val="0070150F"/>
    <w:rsid w:val="007026D3"/>
    <w:rsid w:val="0070283B"/>
    <w:rsid w:val="00702DF3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DAD"/>
    <w:rsid w:val="007205E8"/>
    <w:rsid w:val="00720E51"/>
    <w:rsid w:val="007214B7"/>
    <w:rsid w:val="007233A8"/>
    <w:rsid w:val="00725D1A"/>
    <w:rsid w:val="00730E88"/>
    <w:rsid w:val="007323CD"/>
    <w:rsid w:val="00734C7D"/>
    <w:rsid w:val="007365F0"/>
    <w:rsid w:val="00736A6E"/>
    <w:rsid w:val="00737D18"/>
    <w:rsid w:val="007424C3"/>
    <w:rsid w:val="00742DE8"/>
    <w:rsid w:val="007444E6"/>
    <w:rsid w:val="007469DD"/>
    <w:rsid w:val="00746F03"/>
    <w:rsid w:val="0075261C"/>
    <w:rsid w:val="00753018"/>
    <w:rsid w:val="00753E76"/>
    <w:rsid w:val="00754D34"/>
    <w:rsid w:val="00755002"/>
    <w:rsid w:val="0075573A"/>
    <w:rsid w:val="00757754"/>
    <w:rsid w:val="007607D7"/>
    <w:rsid w:val="0076121E"/>
    <w:rsid w:val="00761F10"/>
    <w:rsid w:val="00762457"/>
    <w:rsid w:val="00763AE2"/>
    <w:rsid w:val="007643D9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E2F"/>
    <w:rsid w:val="00780696"/>
    <w:rsid w:val="007807A9"/>
    <w:rsid w:val="007809AF"/>
    <w:rsid w:val="00780D4D"/>
    <w:rsid w:val="00783DE6"/>
    <w:rsid w:val="0079006D"/>
    <w:rsid w:val="0079022D"/>
    <w:rsid w:val="00790CEB"/>
    <w:rsid w:val="0079106D"/>
    <w:rsid w:val="00791C24"/>
    <w:rsid w:val="0079256D"/>
    <w:rsid w:val="0079326E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5FA"/>
    <w:rsid w:val="007A2B0B"/>
    <w:rsid w:val="007A2B84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6CF6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8007BB"/>
    <w:rsid w:val="00800B51"/>
    <w:rsid w:val="00803359"/>
    <w:rsid w:val="00803587"/>
    <w:rsid w:val="008043A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33D2"/>
    <w:rsid w:val="00845A6F"/>
    <w:rsid w:val="008476FE"/>
    <w:rsid w:val="00850279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53FE"/>
    <w:rsid w:val="0087647C"/>
    <w:rsid w:val="0088077B"/>
    <w:rsid w:val="00881F4A"/>
    <w:rsid w:val="008820C4"/>
    <w:rsid w:val="008824AD"/>
    <w:rsid w:val="0088339E"/>
    <w:rsid w:val="0088377D"/>
    <w:rsid w:val="00883B72"/>
    <w:rsid w:val="00886133"/>
    <w:rsid w:val="00887E62"/>
    <w:rsid w:val="008939D0"/>
    <w:rsid w:val="008945C5"/>
    <w:rsid w:val="008949EB"/>
    <w:rsid w:val="00894CEE"/>
    <w:rsid w:val="00894E16"/>
    <w:rsid w:val="0089724A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588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59A2"/>
    <w:rsid w:val="008E59EC"/>
    <w:rsid w:val="008E5AC3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306A2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66A0"/>
    <w:rsid w:val="00946A9A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58C"/>
    <w:rsid w:val="00967268"/>
    <w:rsid w:val="0097205F"/>
    <w:rsid w:val="0097259C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4E7B"/>
    <w:rsid w:val="00A0652E"/>
    <w:rsid w:val="00A06926"/>
    <w:rsid w:val="00A07E09"/>
    <w:rsid w:val="00A1062C"/>
    <w:rsid w:val="00A108FB"/>
    <w:rsid w:val="00A10B60"/>
    <w:rsid w:val="00A10EBB"/>
    <w:rsid w:val="00A121D5"/>
    <w:rsid w:val="00A12F8E"/>
    <w:rsid w:val="00A1464A"/>
    <w:rsid w:val="00A178E6"/>
    <w:rsid w:val="00A17A02"/>
    <w:rsid w:val="00A17E48"/>
    <w:rsid w:val="00A21225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695"/>
    <w:rsid w:val="00A516F2"/>
    <w:rsid w:val="00A52F65"/>
    <w:rsid w:val="00A53814"/>
    <w:rsid w:val="00A540FF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38E4"/>
    <w:rsid w:val="00A84645"/>
    <w:rsid w:val="00A846F2"/>
    <w:rsid w:val="00A86086"/>
    <w:rsid w:val="00A864AD"/>
    <w:rsid w:val="00A87A00"/>
    <w:rsid w:val="00A87DF6"/>
    <w:rsid w:val="00A9076F"/>
    <w:rsid w:val="00A95A09"/>
    <w:rsid w:val="00A971FF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D009B"/>
    <w:rsid w:val="00AD08CD"/>
    <w:rsid w:val="00AD17E4"/>
    <w:rsid w:val="00AD265B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564E"/>
    <w:rsid w:val="00B16446"/>
    <w:rsid w:val="00B1676B"/>
    <w:rsid w:val="00B17853"/>
    <w:rsid w:val="00B17957"/>
    <w:rsid w:val="00B17EA6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3AB8"/>
    <w:rsid w:val="00B44D78"/>
    <w:rsid w:val="00B470E5"/>
    <w:rsid w:val="00B4742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A019C"/>
    <w:rsid w:val="00BA080B"/>
    <w:rsid w:val="00BA3E77"/>
    <w:rsid w:val="00BA46A7"/>
    <w:rsid w:val="00BB08CC"/>
    <w:rsid w:val="00BB0C66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45FB"/>
    <w:rsid w:val="00BC4F58"/>
    <w:rsid w:val="00BC7ACC"/>
    <w:rsid w:val="00BD3463"/>
    <w:rsid w:val="00BD429D"/>
    <w:rsid w:val="00BD5622"/>
    <w:rsid w:val="00BD642B"/>
    <w:rsid w:val="00BD6AEC"/>
    <w:rsid w:val="00BD7150"/>
    <w:rsid w:val="00BE0AC1"/>
    <w:rsid w:val="00BE1634"/>
    <w:rsid w:val="00BE1C83"/>
    <w:rsid w:val="00BE3ABC"/>
    <w:rsid w:val="00BF0436"/>
    <w:rsid w:val="00BF24AD"/>
    <w:rsid w:val="00BF5666"/>
    <w:rsid w:val="00C000A6"/>
    <w:rsid w:val="00C00B03"/>
    <w:rsid w:val="00C00C66"/>
    <w:rsid w:val="00C01C74"/>
    <w:rsid w:val="00C030F8"/>
    <w:rsid w:val="00C042F7"/>
    <w:rsid w:val="00C0483B"/>
    <w:rsid w:val="00C04E82"/>
    <w:rsid w:val="00C05726"/>
    <w:rsid w:val="00C06054"/>
    <w:rsid w:val="00C060B8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C4E"/>
    <w:rsid w:val="00C27401"/>
    <w:rsid w:val="00C27B81"/>
    <w:rsid w:val="00C306BB"/>
    <w:rsid w:val="00C3335C"/>
    <w:rsid w:val="00C36027"/>
    <w:rsid w:val="00C361D3"/>
    <w:rsid w:val="00C36469"/>
    <w:rsid w:val="00C37D02"/>
    <w:rsid w:val="00C440ED"/>
    <w:rsid w:val="00C45A59"/>
    <w:rsid w:val="00C45B4D"/>
    <w:rsid w:val="00C46105"/>
    <w:rsid w:val="00C4776D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A67"/>
    <w:rsid w:val="00C750B9"/>
    <w:rsid w:val="00C75A54"/>
    <w:rsid w:val="00C7608B"/>
    <w:rsid w:val="00C770F3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A0032"/>
    <w:rsid w:val="00CA0AAA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4E7"/>
    <w:rsid w:val="00D61CBD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67FC"/>
    <w:rsid w:val="00E06ECD"/>
    <w:rsid w:val="00E0752F"/>
    <w:rsid w:val="00E10C55"/>
    <w:rsid w:val="00E10E87"/>
    <w:rsid w:val="00E110BC"/>
    <w:rsid w:val="00E11172"/>
    <w:rsid w:val="00E11C82"/>
    <w:rsid w:val="00E142E7"/>
    <w:rsid w:val="00E14ECC"/>
    <w:rsid w:val="00E158E2"/>
    <w:rsid w:val="00E15A33"/>
    <w:rsid w:val="00E16407"/>
    <w:rsid w:val="00E20104"/>
    <w:rsid w:val="00E24416"/>
    <w:rsid w:val="00E2709D"/>
    <w:rsid w:val="00E27736"/>
    <w:rsid w:val="00E300F2"/>
    <w:rsid w:val="00E303CC"/>
    <w:rsid w:val="00E3048A"/>
    <w:rsid w:val="00E3167B"/>
    <w:rsid w:val="00E32DAB"/>
    <w:rsid w:val="00E33EC6"/>
    <w:rsid w:val="00E36C85"/>
    <w:rsid w:val="00E37B7B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3F64"/>
    <w:rsid w:val="00E848DB"/>
    <w:rsid w:val="00E84D43"/>
    <w:rsid w:val="00E858B6"/>
    <w:rsid w:val="00E85BC2"/>
    <w:rsid w:val="00E860D6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5171"/>
    <w:rsid w:val="00F45FA4"/>
    <w:rsid w:val="00F4612A"/>
    <w:rsid w:val="00F5013F"/>
    <w:rsid w:val="00F50419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4280"/>
    <w:rsid w:val="00FA4500"/>
    <w:rsid w:val="00FA56D1"/>
    <w:rsid w:val="00FA6926"/>
    <w:rsid w:val="00FA726F"/>
    <w:rsid w:val="00FA79BC"/>
    <w:rsid w:val="00FA7ECA"/>
    <w:rsid w:val="00FB0292"/>
    <w:rsid w:val="00FB03A4"/>
    <w:rsid w:val="00FB144C"/>
    <w:rsid w:val="00FB1815"/>
    <w:rsid w:val="00FB31AF"/>
    <w:rsid w:val="00FB342A"/>
    <w:rsid w:val="00FB3787"/>
    <w:rsid w:val="00FB52F7"/>
    <w:rsid w:val="00FB56B8"/>
    <w:rsid w:val="00FB5D98"/>
    <w:rsid w:val="00FB5F9C"/>
    <w:rsid w:val="00FB68EC"/>
    <w:rsid w:val="00FC3ABE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74EA-ECC3-417E-A923-9332BAE8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11436</TotalTime>
  <Pages>145</Pages>
  <Words>52202</Words>
  <Characters>297552</Characters>
  <Application>Microsoft Office Word</Application>
  <DocSecurity>0</DocSecurity>
  <Lines>2479</Lines>
  <Paragraphs>698</Paragraphs>
  <ScaleCrop>false</ScaleCrop>
  <Company/>
  <LinksUpToDate>false</LinksUpToDate>
  <CharactersWithSpaces>349056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1037</cp:revision>
  <dcterms:created xsi:type="dcterms:W3CDTF">2024-08-06T15:51:00Z</dcterms:created>
  <dcterms:modified xsi:type="dcterms:W3CDTF">2025-07-08T01:32:00Z</dcterms:modified>
</cp:coreProperties>
</file>